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440101-2025-01375</w:t>
      </w:r>
    </w:p>
    <w:p>
      <w:pPr>
        <w:pStyle w:val="null3"/>
        <w:jc w:val="center"/>
        <w:outlineLvl w:val="3"/>
      </w:pPr>
      <w:r>
        <w:rPr>
          <w:sz w:val="24"/>
          <w:b/>
        </w:rPr>
        <w:t>采购项目编号：</w:t>
      </w:r>
      <w:r>
        <w:rPr>
          <w:sz w:val="24"/>
          <w:b/>
        </w:rPr>
        <w:t>3587-2512GZG10105</w:t>
      </w:r>
    </w:p>
    <w:p>
      <w:pPr>
        <w:pStyle w:val="null3"/>
        <w:jc w:val="center"/>
        <w:outlineLvl w:val="3"/>
      </w:pPr>
      <w:r>
        <w:rPr>
          <w:sz w:val="24"/>
          <w:b/>
        </w:rPr>
        <w:t>项目名称：</w:t>
      </w:r>
      <w:r>
        <w:rPr>
          <w:sz w:val="24"/>
          <w:b/>
        </w:rPr>
        <w:t>广州医科大学附属第二医院采购医疗设备招标项目(二次)</w:t>
      </w:r>
    </w:p>
    <w:p>
      <w:pPr>
        <w:pStyle w:val="null3"/>
        <w:jc w:val="center"/>
        <w:outlineLvl w:val="3"/>
      </w:pPr>
      <w:r>
        <w:rPr>
          <w:sz w:val="24"/>
          <w:b/>
        </w:rPr>
        <w:t>采购人：</w:t>
      </w:r>
      <w:r>
        <w:rPr>
          <w:sz w:val="24"/>
          <w:b/>
        </w:rPr>
        <w:t>广州医科大学附属第二医院</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广东信诚招标代理咨询有限公司</w:t>
      </w:r>
      <w:r>
        <w:rPr/>
        <w:t>受</w:t>
      </w:r>
      <w:r>
        <w:rPr/>
        <w:t>广州医科大学附属第二医院</w:t>
      </w:r>
      <w:r>
        <w:rPr/>
        <w:t>的委托，采用</w:t>
      </w:r>
      <w:r>
        <w:rPr/>
        <w:t>公开招标</w:t>
      </w:r>
      <w:r>
        <w:rPr/>
        <w:t>方式组织采购</w:t>
      </w:r>
      <w:r>
        <w:rPr/>
        <w:t>广州医科大学附属第二医院采购医疗设备招标项目(二次)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广州医科大学附属第二医院采购医疗设备招标项目(二次)</w:t>
      </w:r>
    </w:p>
    <w:p>
      <w:pPr>
        <w:pStyle w:val="null3"/>
        <w:ind w:firstLine="480"/>
      </w:pPr>
      <w:r>
        <w:rPr/>
        <w:t>采购计划编号：</w:t>
      </w:r>
      <w:r>
        <w:rPr/>
        <w:t>440101-2025-01375</w:t>
      </w:r>
    </w:p>
    <w:p>
      <w:pPr>
        <w:pStyle w:val="null3"/>
        <w:ind w:firstLine="480"/>
      </w:pPr>
      <w:r>
        <w:rPr/>
        <w:t>采购项目编号：</w:t>
      </w:r>
      <w:r>
        <w:rPr/>
        <w:t>3587-2512GZG10105</w:t>
      </w:r>
    </w:p>
    <w:p>
      <w:pPr>
        <w:pStyle w:val="null3"/>
        <w:ind w:firstLine="480"/>
      </w:pPr>
      <w:r>
        <w:rPr/>
        <w:t>采购方式：</w:t>
      </w:r>
      <w:r>
        <w:rPr/>
        <w:t>公开招标</w:t>
      </w:r>
    </w:p>
    <w:p>
      <w:pPr>
        <w:pStyle w:val="null3"/>
        <w:ind w:firstLine="480"/>
      </w:pPr>
      <w:r>
        <w:rPr/>
        <w:t>预算金额：</w:t>
      </w:r>
      <w:r>
        <w:rPr/>
        <w:t>3,200,000.00</w:t>
      </w:r>
      <w:r>
        <w:rPr/>
        <w:t>元</w:t>
      </w:r>
    </w:p>
    <w:p>
      <w:pPr>
        <w:pStyle w:val="null3"/>
        <w:outlineLvl w:val="3"/>
      </w:pPr>
      <w:r>
        <w:rPr>
          <w:sz w:val="24"/>
          <w:b/>
        </w:rPr>
        <w:t>2.项目内容及需求情况（采购项目技术规格、参数及要求）</w:t>
      </w:r>
    </w:p>
    <w:p>
      <w:pPr>
        <w:pStyle w:val="null3"/>
      </w:pPr>
      <w:r>
        <w:rPr/>
        <w:t>采购包1(4K荧光3D腹腔镜系统):</w:t>
      </w:r>
    </w:p>
    <w:p>
      <w:pPr>
        <w:pStyle w:val="null3"/>
      </w:pPr>
      <w:r>
        <w:rPr/>
        <w:t>采购包预算金额：3,200,000.00元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医用内窥镜</w:t>
            </w:r>
          </w:p>
        </w:tc>
        <w:tc>
          <w:tcPr>
            <w:tcW w:type="dxa" w:w="2052"/>
          </w:tcPr>
          <w:p>
            <w:pPr>
              <w:pStyle w:val="null3"/>
            </w:pPr>
            <w:r>
              <w:rPr/>
              <w:t>4K荧光3D腹腔镜系统</w:t>
            </w:r>
          </w:p>
        </w:tc>
        <w:tc>
          <w:tcPr>
            <w:tcW w:type="dxa" w:w="977"/>
          </w:tcPr>
          <w:p>
            <w:pPr>
              <w:pStyle w:val="null3"/>
            </w:pPr>
            <w:r>
              <w:rPr/>
              <w:t>2(套)</w:t>
            </w:r>
          </w:p>
        </w:tc>
        <w:tc>
          <w:tcPr>
            <w:tcW w:type="dxa" w:w="977"/>
          </w:tcPr>
          <w:p>
            <w:pPr>
              <w:pStyle w:val="null3"/>
            </w:pPr>
            <w:r>
              <w:rPr/>
              <w:t>详见第二章</w:t>
            </w:r>
          </w:p>
        </w:tc>
        <w:tc>
          <w:tcPr>
            <w:tcW w:type="dxa" w:w="977"/>
          </w:tcPr>
          <w:p>
            <w:pPr>
              <w:pStyle w:val="null3"/>
            </w:pPr>
            <w:r>
              <w:rPr/>
              <w:t>3,200,000.00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合同履行期限：签订合同后30个工作日内到货。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2）有依法缴纳税收和社会保障资金的良好记录：提供书面声明（格式自定）或相关证明材料；</w:t>
      </w:r>
    </w:p>
    <w:p>
      <w:pPr>
        <w:pStyle w:val="null3"/>
      </w:pPr>
      <w:r>
        <w:rPr/>
        <w:t>3）具有良好的商业信誉和健全的财务会计制度：提供书面声明（格式自定）或相关证明材料；</w:t>
      </w:r>
    </w:p>
    <w:p>
      <w:pPr>
        <w:pStyle w:val="null3"/>
      </w:pPr>
      <w:r>
        <w:rPr/>
        <w:t>4）履行合同所必需的设备和专业技术能力：提供书面声明（格式自定）或相关证明材料；</w:t>
      </w:r>
    </w:p>
    <w:p>
      <w:pPr>
        <w:pStyle w:val="null3"/>
      </w:pPr>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6）法律、行政法规规定的其他条件：按投标函相关承诺要求内容。</w:t>
      </w:r>
    </w:p>
    <w:p>
      <w:pPr>
        <w:pStyle w:val="null3"/>
        <w:outlineLvl w:val="3"/>
      </w:pPr>
      <w:r>
        <w:rPr>
          <w:sz w:val="24"/>
          <w:b/>
        </w:rPr>
        <w:t>2.落实政府采购政策需满足的资格要求：</w:t>
      </w:r>
    </w:p>
    <w:p>
      <w:pPr>
        <w:pStyle w:val="null3"/>
        <w:jc w:val="left"/>
      </w:pPr>
      <w:r>
        <w:rPr/>
        <w:t>采购包1（4K荧光3D腹腔镜系统）：</w:t>
      </w:r>
      <w:r>
        <w:rPr/>
        <w:t>无，本采购包不属于专门面向中小企业采购的项目。本采购包的中小企业划分标准所属行业为：工业。</w:t>
      </w:r>
    </w:p>
    <w:p>
      <w:pPr>
        <w:pStyle w:val="null3"/>
        <w:outlineLvl w:val="3"/>
      </w:pPr>
      <w:r>
        <w:rPr>
          <w:sz w:val="24"/>
          <w:b/>
        </w:rPr>
        <w:t>3.本项目特定的资格要求：</w:t>
      </w:r>
    </w:p>
    <w:p>
      <w:pPr>
        <w:pStyle w:val="null3"/>
      </w:pPr>
      <w:r>
        <w:rPr/>
        <w:t>采购包1（4K荧光3D腹腔镜系统）：</w:t>
      </w:r>
    </w:p>
    <w:p>
      <w:pPr>
        <w:pStyle w:val="null3"/>
      </w:pPr>
      <w:r>
        <w:rPr/>
        <w:t>1)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需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p>
      <w:pPr>
        <w:pStyle w:val="null3"/>
      </w:pPr>
      <w:r>
        <w:rPr/>
        <w:t>4)本采购包不接受联合体投标。提供书面声明（格式自定）。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 （http://www.cfen.com.cn/），广东信诚招标代理咨询有限公司(http://www.gdxczb.cn/)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广州医科大学附属第二医院</w:t>
      </w:r>
    </w:p>
    <w:p>
      <w:pPr>
        <w:pStyle w:val="null3"/>
        <w:ind w:firstLine="480"/>
      </w:pPr>
      <w:r>
        <w:rPr/>
        <w:t xml:space="preserve"> 地址：</w:t>
      </w:r>
      <w:r>
        <w:rPr/>
        <w:t>广州市海珠区昌岗东路250号</w:t>
      </w:r>
    </w:p>
    <w:p>
      <w:pPr>
        <w:pStyle w:val="null3"/>
        <w:ind w:firstLine="480"/>
      </w:pPr>
      <w:r>
        <w:rPr/>
        <w:t xml:space="preserve"> 联系方式：</w:t>
      </w:r>
      <w:r>
        <w:rPr/>
        <w:t>020-34153258</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何工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（一）简要采购内容：</w:t>
      </w:r>
    </w:p>
    <w:tbl>
      <w:tblPr>
        <w:tblW w:w="0" w:type="auto"/>
        <w:tblBorders>
          <w:top w:val="none" w:color="000000" w:sz="4"/>
          <w:left w:val="none" w:color="000000" w:sz="4"/>
          <w:bottom w:val="none" w:color="000000" w:sz="4"/>
          <w:right w:val="none" w:color="000000" w:sz="4"/>
          <w:insideH w:val="none"/>
          <w:insideV w:val="none"/>
        </w:tblBorders>
      </w:tblPr>
      <w:tblGrid>
        <w:gridCol w:w="872"/>
        <w:gridCol w:w="2734"/>
        <w:gridCol w:w="1294"/>
        <w:gridCol w:w="1600"/>
        <w:gridCol w:w="1774"/>
      </w:tblGrid>
      <w:tr>
        <w:tc>
          <w:tcPr>
            <w:tcW w:type="dxa" w:w="87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序号</w:t>
            </w:r>
          </w:p>
        </w:tc>
        <w:tc>
          <w:tcPr>
            <w:tcW w:type="dxa" w:w="2734"/>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标的名称</w:t>
            </w:r>
          </w:p>
        </w:tc>
        <w:tc>
          <w:tcPr>
            <w:tcW w:type="dxa" w:w="1294"/>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数量</w:t>
            </w:r>
          </w:p>
        </w:tc>
        <w:tc>
          <w:tcPr>
            <w:tcW w:type="dxa" w:w="1600"/>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计量单位</w:t>
            </w:r>
          </w:p>
        </w:tc>
        <w:tc>
          <w:tcPr>
            <w:tcW w:type="dxa" w:w="1774"/>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最高限价</w:t>
            </w:r>
            <w:r>
              <w:rPr>
                <w:sz w:val="21"/>
                <w:b/>
              </w:rPr>
              <w:t>(元)</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4K荧光3D腹腔镜系统</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
              <w:jc w:val="center"/>
            </w:pPr>
            <w:r>
              <w:rPr>
                <w:sz w:val="21"/>
              </w:rPr>
              <w:t>3,200,000.00</w:t>
            </w:r>
          </w:p>
        </w:tc>
      </w:tr>
    </w:tbl>
    <w:p>
      <w:pPr>
        <w:pStyle w:val="null3"/>
        <w:ind w:firstLine="482"/>
        <w:jc w:val="both"/>
      </w:pPr>
      <w:r>
        <w:rPr>
          <w:sz w:val="24"/>
          <w:b/>
        </w:rPr>
        <w:t>（二）采购项目说明</w:t>
      </w:r>
    </w:p>
    <w:p>
      <w:pPr>
        <w:pStyle w:val="null3"/>
        <w:ind w:firstLine="480"/>
        <w:jc w:val="both"/>
      </w:pPr>
      <w:r>
        <w:rPr>
          <w:sz w:val="24"/>
        </w:rPr>
        <w:t>1.详细招标要求及需求请参阅招标文件中采购项目内容。</w:t>
      </w:r>
    </w:p>
    <w:p>
      <w:pPr>
        <w:pStyle w:val="null3"/>
        <w:ind w:firstLine="480"/>
        <w:jc w:val="both"/>
      </w:pPr>
      <w:r>
        <w:rPr>
          <w:sz w:val="24"/>
        </w:rPr>
        <w:t>2.投标人必须对所投项目全部内容进行投标，不允许只对所投项目其中部分内容进行投标。如有缺漏的，将导致投标无效。</w:t>
      </w:r>
    </w:p>
    <w:p>
      <w:pPr>
        <w:pStyle w:val="null3"/>
        <w:ind w:firstLine="480"/>
        <w:jc w:val="both"/>
      </w:pPr>
      <w:r>
        <w:rPr>
          <w:sz w:val="24"/>
        </w:rPr>
        <w:t>3.需要落实的政府采购政策：《政府采购促进中小企业发展实施办法》（财库〔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府采购执行机制的通知》（财库〔2019〕9号）等。</w:t>
      </w:r>
    </w:p>
    <w:p>
      <w:pPr>
        <w:pStyle w:val="null3"/>
      </w:pPr>
      <w:r>
        <w:rPr/>
        <w:t>采购包1（4K荧光3D腹腔镜系统）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签订合同后30个工作日内到货。</w:t>
            </w:r>
          </w:p>
        </w:tc>
      </w:tr>
      <w:tr>
        <w:tc>
          <w:tcPr>
            <w:tcW w:type="dxa" w:w="4153"/>
          </w:tcPr>
          <w:p>
            <w:pPr>
              <w:pStyle w:val="null3"/>
            </w:pPr>
            <w:r>
              <w:rPr/>
              <w:t>标的提供的地点</w:t>
            </w:r>
          </w:p>
        </w:tc>
        <w:tc>
          <w:tcPr>
            <w:tcW w:type="dxa" w:w="4153"/>
          </w:tcPr>
          <w:p>
            <w:pPr>
              <w:pStyle w:val="null3"/>
            </w:pPr>
            <w:r>
              <w:rPr/>
              <w:t>广州医科大学附属第二医院指定地点，交货过程中所需的人力和工具及其所发生的一切费用由中标人负责。</w:t>
            </w:r>
          </w:p>
        </w:tc>
      </w:tr>
      <w:tr/>
      <w:tr/>
      <w:tr>
        <w:tc>
          <w:tcPr>
            <w:tcW w:type="dxa" w:w="4153"/>
          </w:tcPr>
          <w:p>
            <w:pPr>
              <w:pStyle w:val="null3"/>
            </w:pPr>
            <w:r>
              <w:rPr/>
              <w:t>付款方式</w:t>
            </w:r>
          </w:p>
        </w:tc>
        <w:tc>
          <w:tcPr>
            <w:tcW w:type="dxa" w:w="4153"/>
          </w:tcPr>
          <w:p>
            <w:pPr>
              <w:pStyle w:val="null3"/>
            </w:pPr>
            <w:r>
              <w:rPr/>
              <w:t>第1期为(全款)：支付比例100%，本项目每笔款项以人民币方式支付，支付的时间和金额如下： 设备到采购人指定时间指定地点交付并清点货物齐全、完成安装、使用培训、验收合格后凭： （1）采购人安装验收调试报告、厂家售后服务承诺书等相关资料。 （2）中标人向采购人开具合同金额3 %的验收后一年期以上自动失效的履约保函。 （3）中标人开具的全额正式发票（加盖中标人公章）。 两个月内支付本项目合同总额货款。货物验收并正常使用一年后，由中标人书面提出申请，且售后服务无异议(采购人、中标人双方书面确认)，采购人将把履约保函退还给中标人。 具体以合同签订为准。。</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本项目合同货物安装调试完成并移交所有资料文档后7个工作日内验收，验收应在采购人和中标人双方共同参加下进行。采购人验收前，货物毁损灭失的风险全部由中标人承担，验收时间点以采购人的安装验收报告验收时间为准。 2.验收按国家有关的规定、规范进行。验收时如发现所交付的设备有短装、次品、损坏或其它不符合本项目合同规定之情形者，采购人应做出详尽的现场记录，或由采购人和中标人双方签署备忘录。此现场记录或备忘录可用作补充、缺失和更换损坏部件的有效证据。由此产生的有关费用由中标人承担，验收期限相应后延。 3.如果本项目合同设备运输和安装调试过程中因事故造成货物短缺、损坏，中标人应及时安排换装，以保证本项目合同设备安装调试的成功完成。换货的相关费用由中标人承担。 4.国内产品或合资厂的产品必须具备出厂合格证、产品使用说明书、保修证明。 5.进口产品必须具备商检部门的检验证明。</w:t>
            </w:r>
          </w:p>
        </w:tc>
      </w:tr>
      <w:tr>
        <w:tc>
          <w:tcPr>
            <w:tcW w:type="dxa" w:w="4153"/>
          </w:tcPr>
          <w:p>
            <w:pPr>
              <w:pStyle w:val="null3"/>
            </w:pPr>
            <w:r>
              <w:rPr/>
              <w:t>履约保证金</w:t>
            </w:r>
          </w:p>
        </w:tc>
        <w:tc>
          <w:tcPr>
            <w:tcW w:type="dxa" w:w="4153"/>
          </w:tcPr>
          <w:p>
            <w:pPr>
              <w:pStyle w:val="null3"/>
            </w:pPr>
            <w:r>
              <w:rPr/>
              <w:t>收取比例：3%,说明：合同签订后中标人向采购人提交合同总金额3%的验收后一年期以上自动失效的履约保证金，以保函形式提交，具体以合同签订为准。</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其他，一、报价要求 1.1 本项目的报价和结算支付均以人民币为货币单位。 1.2 投标人总报价应包括货物设计、制造、包装、仓储、装卸、运输、保险、货物进口所需办理海关手续的费用以及为进口应缴纳的一切关税、安装调试、检测、验收合格之前及保修期内保修服务、培训、辅导、备品备件等发生的所有含税费用及不可预见费用。本项目合同执行期间合同总金额不变。 1.3 投标人应自行增加设备正常、合法、安全运行及使用所必须但招标文件没有包含的所有设备、版权、专利等一切费用。 1.4 投标人必须对项目全部内容进行投标，不允许只对其中部分内容进行投标。 1.5 本项目投标总报价不得高于采购预算，否则报价无效、投标文件作无效投标处理。 1.6 投标人应被认为在填报投标报价之前，已经仔细阅读了本招标文件的所有有关章节以及审查了所有相关资料，已确保本次招标的所有招标范围内的各种价格风险均已包含在投标报价内。开标后，任何因投标人的疏漏而提出的不利于采购人的另行支付与本项目相关的任何费用的申请将不被接受。 二、其他说明： 2.1 根据《广州市政府采购文件编制指导意见（2021年修订）》，第二中标候选人报价高于第一中标候选人报价20%以上的，只推荐1名中标候选人。 2.2 若招标文件中产品名称与投标人实际所能提供的厂家产品名称存在差异，投标人在投标时需标注出两个产品名称，例如A为招标文件产品名称，B为实际厂家产品名称，则投标时产品名称为“A（B）”。 2.3 响应且遵守《廉洁购销合同》的各项条款。（具体见本项目招标公告附件） ★2.4 如投标人为经营企业： 所投产品为第二类医疗器械，投标时应承诺于供货时提供监督管理部门签发的医疗器械经营备案凭证复印件（提供承诺函并加盖投标人公章，不提供视为不响应)。如投标人在投标时已具备该备案凭证的，可在投标时提供复印件加盖投标人公章，视为响应。 ★2.5 根据财政部、国家发展改革委、生态环境部、市场监管总局发布的《关于调整优化节能产品、环境标志产品政府采购执行机制的通知》（财库〔2019〕9 号）的规定，采购人拟采购的产品属于最新一期节能产品强制采购品目清单范围的，投标人必须提供政府强制采购的节能产品且必须于投标文件中提供投标产品所在品目清单页及国家确定的认证机构出具的、处于有效期之内的节能产品认证证书复印件加盖投标人公章。（如是，须提供） 注：打“★”号条款为实质性条款，投标时必须响应满足或实质性优于。若有任何一条负偏离或不满足则导致其投标将被认定为不能满足招标文件要求而作为无效投标处理。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质量保证及售后服务</w:t>
            </w:r>
          </w:p>
        </w:tc>
        <w:tc>
          <w:tcPr>
            <w:tcW w:type="dxa" w:w="2076"/>
          </w:tcPr>
          <w:p>
            <w:pPr>
              <w:pStyle w:val="null3"/>
              <w:jc w:val="left"/>
            </w:pPr>
            <w:r>
              <w:rPr/>
              <w:t>1.1 中标人保证合同设备是全新、未曾使用过的，其质量、规格及技术特征符合合同附件的要求。每台货物上均应钉有铭牌（内容包括：制造商、货物名称、型号规格、出厂日期、机身号等）并附有产品质量检验合格标志及复印进口产品报关单和商检证明并统一加盖中标人公章。中标人应提供货物的装箱清单、用户手册、保修卡（或保修文件）、随机资料及配件、随机工具等；中标人不能完整交付上述资料的，视为未按合同约定付货。 1.2 合同设备免费保修期按生产厂家的标准执行；自验收之日起免费保修期整机保修≥3年（含内窥镜），提供厂家售后服务承诺书。所配软件为最新版本，承诺终身免费升级软件。免费保修期内非采购人的人为原因而出现产品质量及安装问题，由中标人负责包修、包换或包退，并承担因此而产生的一切费用，同时，相应延长免费保修期。中标人应在收到采购人通知后派员到现场维修。 下列情况中标人不负责免费保修： （1）采购人不按照中标人提供的正确使用方法而引致设备故障损坏； （2）擅自改装设备； （3）各种人为因素或天灾等外来因素造成的损坏。 1.3 货物交付使用后以书面形式承诺维修服务，实行终身维护： 保修期内，发生故障，服务人员接到甲方报修电话后应 1小时 内响应：如电话不能解决问题，服务人员应 24小时 内到现场排查。若未能在此时间内到达现场进行排查的，视同发生违约，每违约一次，延长本项目的保修期 10 天。 1.4 所有保修服务方式均为中标人上门保修，即由中标人派员到采购人设备使用现场维修，由此产生的一切费用均由中标人承担。 1.5 因设备的质量问题而发生争议，由广东省或广州市质检部门进行质量鉴定。设备符合质量标准的，鉴定费用由采购人承担；设备不符合质量标准的，鉴定费用由中标人承担。 1.6 中标人为采购人提供操作及维护培训，主要内容为设备的基本结构、性能、主要部件的构造及原理，日常使用操作、保养与管理，常见故障的排除，紧急情况的处理等，培训地点主要在设备安装现场或按采购人和中标人双方协商安排。 1.7 中标人对采购人提供及时充足的零备件供应，保证 10 年以上供应期。</w:t>
            </w:r>
          </w:p>
        </w:tc>
      </w:tr>
      <w:tr>
        <w:tc>
          <w:tcPr>
            <w:tcW w:type="dxa" w:w="2076"/>
          </w:tcPr>
          <w:p/>
        </w:tc>
        <w:tc>
          <w:tcPr>
            <w:tcW w:type="dxa" w:w="2076"/>
          </w:tcPr>
          <w:p>
            <w:pPr>
              <w:pStyle w:val="null3"/>
              <w:jc w:val="center"/>
            </w:pPr>
            <w:r>
              <w:rPr/>
              <w:t>2</w:t>
            </w:r>
          </w:p>
        </w:tc>
        <w:tc>
          <w:tcPr>
            <w:tcW w:type="dxa" w:w="2076"/>
          </w:tcPr>
          <w:p>
            <w:pPr>
              <w:pStyle w:val="null3"/>
              <w:jc w:val="left"/>
            </w:pPr>
            <w:r>
              <w:rPr/>
              <w:t>包装</w:t>
            </w:r>
          </w:p>
        </w:tc>
        <w:tc>
          <w:tcPr>
            <w:tcW w:type="dxa" w:w="2076"/>
          </w:tcPr>
          <w:p>
            <w:pPr>
              <w:pStyle w:val="null3"/>
              <w:jc w:val="left"/>
            </w:pPr>
            <w:r>
              <w:rPr/>
              <w:t>设备的包装均应有良好的防湿、防锈、防潮、防雨、防腐及防碰撞的措施。凡由于包装不良造成的损失和由此产生的费用均由中标人承担。</w:t>
            </w:r>
          </w:p>
        </w:tc>
      </w:tr>
      <w:tr>
        <w:tc>
          <w:tcPr>
            <w:tcW w:type="dxa" w:w="2076"/>
          </w:tcPr>
          <w:p/>
        </w:tc>
        <w:tc>
          <w:tcPr>
            <w:tcW w:type="dxa" w:w="2076"/>
          </w:tcPr>
          <w:p>
            <w:pPr>
              <w:pStyle w:val="null3"/>
              <w:jc w:val="center"/>
            </w:pPr>
            <w:r>
              <w:rPr/>
              <w:t>3</w:t>
            </w:r>
          </w:p>
        </w:tc>
        <w:tc>
          <w:tcPr>
            <w:tcW w:type="dxa" w:w="2076"/>
          </w:tcPr>
          <w:p>
            <w:pPr>
              <w:pStyle w:val="null3"/>
              <w:jc w:val="left"/>
            </w:pPr>
            <w:r>
              <w:rPr/>
              <w:t>设备的安装调试</w:t>
            </w:r>
          </w:p>
        </w:tc>
        <w:tc>
          <w:tcPr>
            <w:tcW w:type="dxa" w:w="2076"/>
          </w:tcPr>
          <w:p>
            <w:pPr>
              <w:pStyle w:val="null3"/>
              <w:jc w:val="left"/>
            </w:pPr>
            <w:r>
              <w:rPr/>
              <w:t>3.1.在货物到达采购人指定地点后，中标人应 2 天内派工程技术人员到达现场，并在采购人实际要求的天数内在采购人人员在场的情况下开箱清点货物，组织安装、调试，承担由此发生的一切费用。厂家从进场安装开始，应在 20 天内完成安装与调试。 3.2 货物安装后，中标人应向用户提交本机安装调试报告（如有），以及按厂方标准进行的各项检测数据。中标人应向采购人提交详细的安装、调试及验收过程中所有相关文档。</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医用内窥镜</w:t>
            </w:r>
          </w:p>
        </w:tc>
        <w:tc>
          <w:tcPr>
            <w:tcW w:type="dxa" w:w="831"/>
          </w:tcPr>
          <w:p>
            <w:pPr>
              <w:pStyle w:val="null3"/>
              <w:jc w:val="left"/>
            </w:pPr>
            <w:r>
              <w:rPr/>
              <w:t>4K荧光3D腹腔镜系统</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1,600,000.00</w:t>
            </w:r>
          </w:p>
        </w:tc>
        <w:tc>
          <w:tcPr>
            <w:tcW w:type="dxa" w:w="831"/>
          </w:tcPr>
          <w:p>
            <w:pPr>
              <w:pStyle w:val="null3"/>
              <w:jc w:val="right"/>
            </w:pPr>
            <w:r>
              <w:rPr/>
              <w:t>3,200,000.00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4K荧光3D腹腔镜系统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一、总体要求</w:t>
            </w:r>
          </w:p>
          <w:p>
            <w:pPr>
              <w:pStyle w:val="null3"/>
              <w:jc w:val="both"/>
            </w:pPr>
            <w:r>
              <w:rPr>
                <w:sz w:val="21"/>
              </w:rPr>
              <w:t>1.所投产品必须是合法注册有效周期内最新生产的产品，必须是制造商原厂制造。</w:t>
            </w:r>
          </w:p>
          <w:p>
            <w:pPr>
              <w:pStyle w:val="null3"/>
              <w:jc w:val="both"/>
            </w:pPr>
            <w:r>
              <w:rPr>
                <w:sz w:val="21"/>
              </w:rPr>
              <w:t>2.投标时必须提供以下证明材料：</w:t>
            </w:r>
          </w:p>
          <w:p>
            <w:pPr>
              <w:pStyle w:val="null3"/>
              <w:jc w:val="both"/>
            </w:pPr>
            <w:r>
              <w:rPr>
                <w:sz w:val="21"/>
              </w:rPr>
              <w:t>★（1） 产品有效的医疗器械注册证（适用于二类或三类医疗器械）/医疗器械备案证（适用于一类医疗器械）；</w:t>
            </w:r>
          </w:p>
          <w:p>
            <w:pPr>
              <w:pStyle w:val="null3"/>
              <w:jc w:val="both"/>
            </w:pPr>
            <w:r>
              <w:rPr>
                <w:sz w:val="21"/>
              </w:rPr>
              <w:t>（</w:t>
            </w:r>
            <w:r>
              <w:rPr>
                <w:sz w:val="21"/>
              </w:rPr>
              <w:t>2） 产品检验报告（至少包括封面、结论页、送检产品的外观页），并书面承诺：供货的设备与投标时提供的产品技术资料与标书响应内容完全一致，且符合我国有关技术规范和技术标准。</w:t>
            </w:r>
            <w:r>
              <w:rPr>
                <w:sz w:val="21"/>
                <w:b/>
              </w:rPr>
              <w:t>（承诺函格式自拟并加盖投标人公章）</w:t>
            </w:r>
          </w:p>
          <w:p>
            <w:pPr>
              <w:pStyle w:val="null3"/>
              <w:jc w:val="both"/>
            </w:pPr>
            <w:r>
              <w:rPr>
                <w:sz w:val="21"/>
                <w:b/>
              </w:rPr>
              <w:t>二、设备基本功能参数</w:t>
            </w:r>
          </w:p>
          <w:p>
            <w:pPr>
              <w:pStyle w:val="null3"/>
              <w:jc w:val="both"/>
            </w:pPr>
            <w:r>
              <w:rPr>
                <w:sz w:val="21"/>
                <w:b/>
              </w:rPr>
              <w:t>（一）</w:t>
            </w:r>
            <w:r>
              <w:rPr>
                <w:sz w:val="21"/>
                <w:b/>
              </w:rPr>
              <w:t>4K 3D荧光摄像系统主机</w:t>
            </w:r>
          </w:p>
          <w:p>
            <w:pPr>
              <w:pStyle w:val="null3"/>
              <w:jc w:val="both"/>
            </w:pPr>
            <w:r>
              <w:rPr>
                <w:sz w:val="21"/>
              </w:rPr>
              <w:t>▲1.可处理 3D 和 2D 画面信号，能够输出3840*2160 和 4096*2160 超高清像素影像。（提供白皮书或产品使用说明书或设备演示图片，并加盖厂家公章）</w:t>
            </w:r>
          </w:p>
          <w:p>
            <w:pPr>
              <w:pStyle w:val="null3"/>
              <w:jc w:val="both"/>
            </w:pPr>
            <w:r>
              <w:rPr>
                <w:sz w:val="21"/>
              </w:rPr>
              <w:t>2.采用触摸屏设计，屏幕尺寸≥7英寸，可在触摸屏上进行功能设置和常用参数显示。</w:t>
            </w:r>
          </w:p>
          <w:p>
            <w:pPr>
              <w:pStyle w:val="null3"/>
              <w:jc w:val="both"/>
            </w:pPr>
            <w:r>
              <w:rPr>
                <w:sz w:val="21"/>
              </w:rPr>
              <w:t>▲3.具有画幅自适应调控功能开关，可实现腹腔镜自动全屏和小镜种自动内切圆，并且居中显示。（提供白皮书或产品使用说明书或医疗器械注册证相应的技术要求附录证明）</w:t>
            </w:r>
          </w:p>
          <w:p>
            <w:pPr>
              <w:pStyle w:val="null3"/>
              <w:jc w:val="both"/>
            </w:pPr>
            <w:r>
              <w:rPr>
                <w:sz w:val="21"/>
              </w:rPr>
              <w:t>4．具有细节增强、颜色增强、亮度均匀、去雾优化、HDR等多种智能图像算法，提供更佳的分辨力与色彩区分度。</w:t>
            </w:r>
          </w:p>
          <w:p>
            <w:pPr>
              <w:pStyle w:val="null3"/>
              <w:jc w:val="both"/>
            </w:pPr>
            <w:r>
              <w:rPr>
                <w:sz w:val="21"/>
              </w:rPr>
              <w:t>5.主机兼容4K荧光摄像头、3D电子一体镜；</w:t>
            </w:r>
          </w:p>
          <w:p>
            <w:pPr>
              <w:pStyle w:val="null3"/>
              <w:jc w:val="both"/>
            </w:pPr>
            <w:r>
              <w:rPr>
                <w:sz w:val="21"/>
              </w:rPr>
              <w:t>6.具有3D视差调节功能，可满足不同客户的立体感体验。</w:t>
            </w:r>
          </w:p>
          <w:p>
            <w:pPr>
              <w:pStyle w:val="null3"/>
              <w:jc w:val="both"/>
            </w:pPr>
            <w:r>
              <w:rPr>
                <w:sz w:val="21"/>
              </w:rPr>
              <w:t>7.支持3D 电子内窥镜、荧光造影剂吲哚菁绿（ICG）配合使用，适用于在微创内窥镜手术中提供实时的可见光影像及近红外荧光影像。</w:t>
            </w:r>
          </w:p>
          <w:p>
            <w:pPr>
              <w:pStyle w:val="null3"/>
              <w:jc w:val="both"/>
            </w:pPr>
            <w:r>
              <w:rPr>
                <w:sz w:val="21"/>
              </w:rPr>
              <w:t>8.荧光灵敏度≥2档可调，便于临床在不同荧光应用场景中做个性化处理。</w:t>
            </w:r>
          </w:p>
          <w:p>
            <w:pPr>
              <w:pStyle w:val="null3"/>
              <w:jc w:val="both"/>
            </w:pPr>
            <w:r>
              <w:rPr>
                <w:sz w:val="21"/>
              </w:rPr>
              <w:t>▲9.具有≥2种光谱染色功能，可对黏膜层血管网进行深度透视，便于区分异形血管。（提供白皮书或产品使用说明书或医疗器械注册证相应的技术要求附录证明，并加盖厂家公章）</w:t>
            </w:r>
          </w:p>
          <w:p>
            <w:pPr>
              <w:pStyle w:val="null3"/>
              <w:jc w:val="both"/>
            </w:pPr>
            <w:r>
              <w:rPr>
                <w:sz w:val="21"/>
              </w:rPr>
              <w:t>10.自带录像功能，H.265录像编码规范，具有≥4种录像格式选择，录像文件大小可选。</w:t>
            </w:r>
          </w:p>
          <w:p>
            <w:pPr>
              <w:pStyle w:val="null3"/>
              <w:jc w:val="both"/>
            </w:pPr>
            <w:r>
              <w:rPr>
                <w:sz w:val="21"/>
              </w:rPr>
              <w:t>11.主机自带USB接口≥3个，其中USB 3.0接口≥2个，支持 U 盘、移动硬盘存储设备即插即用，录像储存有动画提示，并在触摸屏上显示移动设备状态和可录制剩余时间。</w:t>
            </w:r>
          </w:p>
          <w:p>
            <w:pPr>
              <w:pStyle w:val="null3"/>
              <w:jc w:val="both"/>
            </w:pPr>
            <w:r>
              <w:rPr>
                <w:sz w:val="21"/>
              </w:rPr>
              <w:t>12.信号输出接口至少包括1路12G-SDI和两路HDMI接口，具备至少3路能够同时输出的4K超高清信号；至少包括1路3G-SDI和DVI接口，至少 2 路高清信号输出。</w:t>
            </w:r>
          </w:p>
          <w:p>
            <w:pPr>
              <w:pStyle w:val="null3"/>
              <w:jc w:val="both"/>
            </w:pPr>
            <w:r>
              <w:rPr>
                <w:sz w:val="21"/>
              </w:rPr>
              <w:t>▲13.主机具有外部视频输入接口≥1个，支持最大2K分辨率外部视频输入，可与摄像系统信号同屏共显。（提供白皮书或产品使用说明书或医疗器械注册证相应的技术要求附录证明）</w:t>
            </w:r>
          </w:p>
          <w:p>
            <w:pPr>
              <w:pStyle w:val="null3"/>
              <w:jc w:val="both"/>
            </w:pPr>
            <w:r>
              <w:rPr>
                <w:sz w:val="21"/>
              </w:rPr>
              <w:t>14.具备纤维镜图像优化功能。</w:t>
            </w:r>
          </w:p>
          <w:p>
            <w:pPr>
              <w:pStyle w:val="null3"/>
              <w:jc w:val="both"/>
            </w:pPr>
            <w:r>
              <w:rPr>
                <w:sz w:val="21"/>
              </w:rPr>
              <w:t>15.具有去激光干扰功能。</w:t>
            </w:r>
          </w:p>
          <w:p>
            <w:pPr>
              <w:pStyle w:val="null3"/>
              <w:jc w:val="both"/>
            </w:pPr>
            <w:r>
              <w:rPr>
                <w:sz w:val="21"/>
              </w:rPr>
              <w:t>16.主机支持多设备融合，具备跨设备联动功能：</w:t>
            </w:r>
          </w:p>
          <w:p>
            <w:pPr>
              <w:pStyle w:val="null3"/>
              <w:jc w:val="both"/>
            </w:pPr>
            <w:r>
              <w:rPr>
                <w:sz w:val="21"/>
              </w:rPr>
              <w:t>▲1</w:t>
            </w:r>
            <w:r>
              <w:rPr>
                <w:sz w:val="21"/>
              </w:rPr>
              <w:t>6.1</w:t>
            </w:r>
            <w:r>
              <w:rPr>
                <w:sz w:val="21"/>
              </w:rPr>
              <w:t>可与监护仪联动，腔镜屏幕可同步显示监护仪中心静脉压</w:t>
            </w:r>
            <w:r>
              <w:rPr>
                <w:sz w:val="21"/>
              </w:rPr>
              <w:t>CVP信息。（提供白皮书或产品使用说明书或设备演示图片，并加盖厂家公章）</w:t>
            </w:r>
          </w:p>
          <w:p>
            <w:pPr>
              <w:pStyle w:val="null3"/>
              <w:jc w:val="both"/>
            </w:pPr>
            <w:r>
              <w:rPr>
                <w:sz w:val="21"/>
              </w:rPr>
              <w:t>▲1</w:t>
            </w:r>
            <w:r>
              <w:rPr>
                <w:sz w:val="21"/>
              </w:rPr>
              <w:t>6.2</w:t>
            </w:r>
            <w:r>
              <w:rPr>
                <w:sz w:val="21"/>
              </w:rPr>
              <w:t>可与腔镜下超声探头联动，腔镜屏幕可同步显示术野对应的实时超声扫描画面。（提供白皮书或产品使用说明书或设备演示图片，并加盖厂家公章）</w:t>
            </w:r>
          </w:p>
          <w:p>
            <w:pPr>
              <w:pStyle w:val="null3"/>
              <w:jc w:val="both"/>
            </w:pPr>
            <w:r>
              <w:rPr>
                <w:sz w:val="21"/>
                <w:b/>
              </w:rPr>
              <w:t>（二）医用冷光源</w:t>
            </w:r>
          </w:p>
          <w:p>
            <w:pPr>
              <w:pStyle w:val="null3"/>
              <w:jc w:val="both"/>
            </w:pPr>
            <w:r>
              <w:rPr>
                <w:sz w:val="21"/>
              </w:rPr>
              <w:t>1.支持同时输出近红外激光和白光，且激光为3R级医用激光光源。</w:t>
            </w:r>
          </w:p>
          <w:p>
            <w:pPr>
              <w:pStyle w:val="null3"/>
              <w:jc w:val="both"/>
            </w:pPr>
            <w:r>
              <w:rPr>
                <w:sz w:val="21"/>
              </w:rPr>
              <w:t>2.采用触摸屏设计，屏幕尺寸≥7英寸，可在触摸屏上进行LED光源的常用参数调整。</w:t>
            </w:r>
          </w:p>
          <w:p>
            <w:pPr>
              <w:pStyle w:val="null3"/>
              <w:jc w:val="both"/>
            </w:pPr>
            <w:r>
              <w:rPr>
                <w:sz w:val="21"/>
              </w:rPr>
              <w:t>3.防电击程度分类满足防除颤 CF 级别I 类，适用于近心手术。</w:t>
            </w:r>
          </w:p>
          <w:p>
            <w:pPr>
              <w:pStyle w:val="null3"/>
              <w:jc w:val="both"/>
            </w:pPr>
            <w:r>
              <w:rPr>
                <w:sz w:val="21"/>
              </w:rPr>
              <w:t>▲4.白光冷光源的输出总光通量≥2000lm。（提供白皮书或产品使用说明书或医疗器械注册证相应的技术要求附录证明）</w:t>
            </w:r>
          </w:p>
          <w:p>
            <w:pPr>
              <w:pStyle w:val="null3"/>
              <w:jc w:val="both"/>
            </w:pPr>
            <w:r>
              <w:rPr>
                <w:sz w:val="21"/>
              </w:rPr>
              <w:t>▲5.最大色温≥7000K。（提供白皮书或产品使用说明书或医疗器械注册证相应的技术要求附录证明）</w:t>
            </w:r>
          </w:p>
          <w:p>
            <w:pPr>
              <w:pStyle w:val="null3"/>
              <w:jc w:val="both"/>
            </w:pPr>
            <w:r>
              <w:rPr>
                <w:sz w:val="21"/>
              </w:rPr>
              <w:t>▲6.LED灯泡工作寿命≥60000小时。（提供白皮书或产品使用说明书或医疗器械注册证相应的技术要求附录证明）</w:t>
            </w:r>
          </w:p>
          <w:p>
            <w:pPr>
              <w:pStyle w:val="null3"/>
              <w:jc w:val="both"/>
            </w:pPr>
            <w:r>
              <w:rPr>
                <w:sz w:val="21"/>
              </w:rPr>
              <w:t>7.具有主机光源联动功能，可根据当前手术视野的情况自动调节互联光源亮度。</w:t>
            </w:r>
          </w:p>
          <w:p>
            <w:pPr>
              <w:pStyle w:val="null3"/>
              <w:jc w:val="both"/>
            </w:pPr>
            <w:r>
              <w:rPr>
                <w:sz w:val="21"/>
              </w:rPr>
              <w:t>8.具有光纤插入自动检测功能。</w:t>
            </w:r>
          </w:p>
          <w:p>
            <w:pPr>
              <w:pStyle w:val="null3"/>
              <w:jc w:val="both"/>
            </w:pPr>
            <w:r>
              <w:rPr>
                <w:sz w:val="21"/>
              </w:rPr>
              <w:t>9.具有一键待机功能，手术过程中可短时关闭光源。</w:t>
            </w:r>
          </w:p>
          <w:p>
            <w:pPr>
              <w:pStyle w:val="null3"/>
              <w:jc w:val="both"/>
            </w:pPr>
            <w:r>
              <w:rPr>
                <w:sz w:val="21"/>
              </w:rPr>
              <w:t>10.光源在正常运行时产生的最大噪声≤55dB（A）。</w:t>
            </w:r>
          </w:p>
          <w:p>
            <w:pPr>
              <w:pStyle w:val="null3"/>
              <w:jc w:val="both"/>
            </w:pPr>
            <w:r>
              <w:rPr>
                <w:sz w:val="21"/>
              </w:rPr>
              <w:t>11.具有高温报警、灯泡寿命警示功能。</w:t>
            </w:r>
          </w:p>
          <w:p>
            <w:pPr>
              <w:pStyle w:val="null3"/>
              <w:jc w:val="both"/>
            </w:pPr>
            <w:r>
              <w:rPr>
                <w:sz w:val="21"/>
                <w:b/>
              </w:rPr>
              <w:t>（三）医用显示器</w:t>
            </w:r>
          </w:p>
          <w:p>
            <w:pPr>
              <w:pStyle w:val="null3"/>
              <w:jc w:val="both"/>
            </w:pPr>
            <w:r>
              <w:rPr>
                <w:sz w:val="21"/>
              </w:rPr>
              <w:t>1．   4K 3D医用LCD监视器，尺寸≥32寸。</w:t>
            </w:r>
          </w:p>
          <w:p>
            <w:pPr>
              <w:pStyle w:val="null3"/>
              <w:jc w:val="both"/>
            </w:pPr>
            <w:r>
              <w:rPr>
                <w:sz w:val="21"/>
              </w:rPr>
              <w:t>2.峰值亮度≥1500cd/m²。</w:t>
            </w:r>
          </w:p>
          <w:p>
            <w:pPr>
              <w:pStyle w:val="null3"/>
              <w:jc w:val="both"/>
            </w:pPr>
            <w:r>
              <w:rPr>
                <w:sz w:val="21"/>
              </w:rPr>
              <w:t>3.支持4K 60Hz超高清显示，具有HDMI或12G-SDI的4K超高清接口。</w:t>
            </w:r>
          </w:p>
          <w:p>
            <w:pPr>
              <w:pStyle w:val="null3"/>
              <w:jc w:val="both"/>
            </w:pPr>
            <w:r>
              <w:rPr>
                <w:sz w:val="21"/>
              </w:rPr>
              <w:t>4.具有3G-SDI或DVI的全高清接口。</w:t>
            </w:r>
          </w:p>
          <w:p>
            <w:pPr>
              <w:pStyle w:val="null3"/>
              <w:jc w:val="both"/>
            </w:pPr>
            <w:r>
              <w:rPr>
                <w:sz w:val="21"/>
              </w:rPr>
              <w:t>5.显示器对比度≥1000000:1，像素效率</w:t>
            </w:r>
            <w:r>
              <w:rPr>
                <w:sz w:val="21"/>
              </w:rPr>
              <w:t>≥</w:t>
            </w:r>
            <w:r>
              <w:rPr>
                <w:sz w:val="21"/>
              </w:rPr>
              <w:t>99.99%。</w:t>
            </w:r>
          </w:p>
          <w:p>
            <w:pPr>
              <w:pStyle w:val="null3"/>
              <w:jc w:val="both"/>
            </w:pPr>
            <w:r>
              <w:rPr>
                <w:sz w:val="21"/>
              </w:rPr>
              <w:t>6.具有≥178°可视角度，可满足术者不同站位需求。</w:t>
            </w:r>
          </w:p>
          <w:p>
            <w:pPr>
              <w:pStyle w:val="null3"/>
              <w:jc w:val="both"/>
            </w:pPr>
            <w:r>
              <w:rPr>
                <w:sz w:val="21"/>
                <w:b/>
              </w:rPr>
              <w:t>（四）</w:t>
            </w:r>
            <w:r>
              <w:rPr>
                <w:sz w:val="21"/>
                <w:b/>
              </w:rPr>
              <w:t>4K荧光摄像头</w:t>
            </w:r>
          </w:p>
          <w:p>
            <w:pPr>
              <w:pStyle w:val="null3"/>
              <w:jc w:val="both"/>
            </w:pPr>
            <w:r>
              <w:rPr>
                <w:sz w:val="21"/>
              </w:rPr>
              <w:t>1.摄像头防电击程度分类满足防除颤 CF 级别I 类。</w:t>
            </w:r>
          </w:p>
          <w:p>
            <w:pPr>
              <w:pStyle w:val="null3"/>
              <w:jc w:val="both"/>
            </w:pPr>
            <w:r>
              <w:rPr>
                <w:sz w:val="21"/>
              </w:rPr>
              <w:t>2.摄像头进液防护程度≥IPX7。</w:t>
            </w:r>
          </w:p>
          <w:p>
            <w:pPr>
              <w:pStyle w:val="null3"/>
              <w:jc w:val="both"/>
            </w:pPr>
            <w:r>
              <w:rPr>
                <w:sz w:val="21"/>
              </w:rPr>
              <w:t>3.CMOS传感器≤2个，双路4K输出显示，白光信号采用白光CMOS逐行扫描成像，荧光信号采用荧光CMOS逐行扫描成像。</w:t>
            </w:r>
          </w:p>
          <w:p>
            <w:pPr>
              <w:pStyle w:val="null3"/>
              <w:jc w:val="both"/>
            </w:pPr>
            <w:r>
              <w:rPr>
                <w:sz w:val="21"/>
              </w:rPr>
              <w:t>4.荧光摄像头重量≤ 240g。</w:t>
            </w:r>
          </w:p>
          <w:p>
            <w:pPr>
              <w:pStyle w:val="null3"/>
              <w:jc w:val="both"/>
            </w:pPr>
            <w:r>
              <w:rPr>
                <w:sz w:val="21"/>
              </w:rPr>
              <w:t>▲5.摄像头自带一键对焦功能，无需手动调节调焦旋钮。（提供白皮书或产品使用说明书或医疗器械注册证相应的技术要求附录证明）</w:t>
            </w:r>
          </w:p>
          <w:p>
            <w:pPr>
              <w:pStyle w:val="null3"/>
              <w:jc w:val="both"/>
            </w:pPr>
            <w:r>
              <w:rPr>
                <w:sz w:val="21"/>
                <w:b/>
              </w:rPr>
              <w:t>（五）</w:t>
            </w:r>
            <w:r>
              <w:rPr>
                <w:sz w:val="21"/>
                <w:b/>
              </w:rPr>
              <w:t>4K 3D荧光内窥镜（以下简称3</w:t>
            </w:r>
            <w:r>
              <w:rPr>
                <w:sz w:val="21"/>
                <w:b/>
              </w:rPr>
              <w:t>D</w:t>
            </w:r>
            <w:r>
              <w:rPr>
                <w:sz w:val="21"/>
                <w:b/>
              </w:rPr>
              <w:t>镜）</w:t>
            </w:r>
          </w:p>
          <w:p>
            <w:pPr>
              <w:pStyle w:val="null3"/>
              <w:jc w:val="both"/>
            </w:pPr>
            <w:r>
              <w:rPr>
                <w:sz w:val="21"/>
              </w:rPr>
              <w:t>★1.  3D内窥镜采用3D电子镜技术。（提供白皮书或产品使用说明书或医疗器械注册证相应的技术要求附录证明）</w:t>
            </w:r>
          </w:p>
          <w:p>
            <w:pPr>
              <w:pStyle w:val="null3"/>
              <w:jc w:val="both"/>
            </w:pPr>
            <w:r>
              <w:rPr>
                <w:sz w:val="21"/>
              </w:rPr>
              <w:t>2.采用双路 4K CMOS, 支持 3840*2160 和4096*2160 像素超高清图像显示。</w:t>
            </w:r>
          </w:p>
          <w:p>
            <w:pPr>
              <w:pStyle w:val="null3"/>
              <w:jc w:val="both"/>
            </w:pPr>
            <w:r>
              <w:rPr>
                <w:sz w:val="21"/>
              </w:rPr>
              <w:t>▲3.单根镜具有3D模式下荧光成像功能。（提供白皮书或产品使用说明书或医疗器械注册证相应的技术要求附录证明）</w:t>
            </w:r>
          </w:p>
          <w:p>
            <w:pPr>
              <w:pStyle w:val="null3"/>
              <w:jc w:val="both"/>
            </w:pPr>
            <w:r>
              <w:rPr>
                <w:sz w:val="21"/>
              </w:rPr>
              <w:t>4.防电击程度分类满足防除颤 CF 级别I 类，适用于近心手术。</w:t>
            </w:r>
          </w:p>
          <w:p>
            <w:pPr>
              <w:pStyle w:val="null3"/>
              <w:jc w:val="both"/>
            </w:pPr>
            <w:r>
              <w:rPr>
                <w:sz w:val="21"/>
              </w:rPr>
              <w:t>5.具有防除颤保护认证，可用于术中除颤场景。</w:t>
            </w:r>
          </w:p>
          <w:p>
            <w:pPr>
              <w:pStyle w:val="null3"/>
              <w:jc w:val="both"/>
            </w:pPr>
            <w:r>
              <w:rPr>
                <w:sz w:val="21"/>
              </w:rPr>
              <w:t>6.  镜上按键≤3个，可设置≥20种快捷功能，可实现白平衡、拍照、录像、一键切换2D/3D模式等功能。</w:t>
            </w:r>
          </w:p>
          <w:p>
            <w:pPr>
              <w:pStyle w:val="null3"/>
              <w:jc w:val="both"/>
            </w:pPr>
            <w:r>
              <w:rPr>
                <w:sz w:val="21"/>
              </w:rPr>
              <w:t>7. 直径10mm，视向角≥30°，工作长度≥320mm，视场角≥80°。</w:t>
            </w:r>
          </w:p>
          <w:p>
            <w:pPr>
              <w:pStyle w:val="null3"/>
              <w:jc w:val="both"/>
            </w:pPr>
            <w:r>
              <w:rPr>
                <w:sz w:val="21"/>
              </w:rPr>
              <w:t>▲8.支持3D显示模式下自动旋转回正功能。（提供白皮书或产品使用说明书或医疗器械注册证相应的技术要求附录证明，并加盖厂家公章）</w:t>
            </w:r>
          </w:p>
          <w:p>
            <w:pPr>
              <w:pStyle w:val="null3"/>
              <w:jc w:val="both"/>
            </w:pPr>
            <w:r>
              <w:rPr>
                <w:sz w:val="21"/>
              </w:rPr>
              <w:t>▲9. 有效景深范围至少满足：3-200mm。（提供白皮书或产品使用说明书或医疗器械注册证相应的技术要求附录证明）</w:t>
            </w:r>
          </w:p>
          <w:p>
            <w:pPr>
              <w:pStyle w:val="null3"/>
              <w:jc w:val="both"/>
            </w:pPr>
            <w:r>
              <w:rPr>
                <w:sz w:val="21"/>
              </w:rPr>
              <w:t>10.</w:t>
            </w:r>
            <w:r>
              <w:rPr>
                <w:sz w:val="21"/>
              </w:rPr>
              <w:t xml:space="preserve"> </w:t>
            </w:r>
            <w:r>
              <w:rPr>
                <w:sz w:val="21"/>
              </w:rPr>
              <w:t>3D镜前端具备升温防雾设计。</w:t>
            </w:r>
          </w:p>
          <w:p>
            <w:pPr>
              <w:pStyle w:val="null3"/>
              <w:jc w:val="both"/>
            </w:pPr>
            <w:r>
              <w:rPr>
                <w:sz w:val="21"/>
              </w:rPr>
              <w:t>11.免对焦设计，无需手动对焦。</w:t>
            </w:r>
          </w:p>
          <w:p>
            <w:pPr>
              <w:pStyle w:val="null3"/>
              <w:jc w:val="both"/>
            </w:pPr>
            <w:r>
              <w:rPr>
                <w:sz w:val="21"/>
              </w:rPr>
              <w:t>▲12.  进液防护程度IPX7或更高，前端镜头+握持手柄整镜可支持高温高压、低温等离子、环氧乙烷等灭菌方式。（提供白皮书或产品使用说明书或医疗器械注册证相应的技术要求附录证明）</w:t>
            </w:r>
          </w:p>
          <w:p>
            <w:pPr>
              <w:pStyle w:val="null3"/>
              <w:jc w:val="both"/>
            </w:pPr>
            <w:r>
              <w:rPr>
                <w:sz w:val="21"/>
                <w:b/>
              </w:rPr>
              <w:t>（六）</w:t>
            </w:r>
            <w:r>
              <w:rPr>
                <w:sz w:val="21"/>
                <w:b/>
              </w:rPr>
              <w:t>4K荧光内窥镜</w:t>
            </w:r>
          </w:p>
          <w:p>
            <w:pPr>
              <w:pStyle w:val="null3"/>
              <w:jc w:val="both"/>
            </w:pPr>
            <w:r>
              <w:rPr>
                <w:sz w:val="21"/>
              </w:rPr>
              <w:t>1.支持高温高压、低温等离子、环氧乙烷等灭菌方式，耐灭菌次数≥500次。</w:t>
            </w:r>
          </w:p>
          <w:p>
            <w:pPr>
              <w:pStyle w:val="null3"/>
              <w:jc w:val="both"/>
            </w:pPr>
            <w:r>
              <w:rPr>
                <w:sz w:val="21"/>
              </w:rPr>
              <w:t>2.与摄像主机为同一品牌。</w:t>
            </w:r>
          </w:p>
          <w:p>
            <w:pPr>
              <w:pStyle w:val="null3"/>
              <w:jc w:val="both"/>
            </w:pPr>
            <w:r>
              <w:rPr>
                <w:sz w:val="21"/>
              </w:rPr>
              <w:t>3.直径10mm，视向角≥30°。</w:t>
            </w:r>
          </w:p>
          <w:p>
            <w:pPr>
              <w:pStyle w:val="null3"/>
              <w:jc w:val="both"/>
            </w:pPr>
            <w:r>
              <w:rPr>
                <w:sz w:val="21"/>
              </w:rPr>
              <w:t>4.视场角≥80°，显色指数Ra≥91。</w:t>
            </w:r>
          </w:p>
          <w:p>
            <w:pPr>
              <w:pStyle w:val="null3"/>
              <w:jc w:val="both"/>
            </w:pPr>
            <w:r>
              <w:rPr>
                <w:sz w:val="21"/>
              </w:rPr>
              <w:t>5.视场中心角分辨率≥7.0C/(°)，单位相对畸变控制量≤6%。</w:t>
            </w:r>
          </w:p>
          <w:p>
            <w:pPr>
              <w:pStyle w:val="null3"/>
              <w:jc w:val="both"/>
            </w:pPr>
            <w:r>
              <w:rPr>
                <w:sz w:val="21"/>
              </w:rPr>
              <w:t>▲6.大景深光学镜，有效景深范围至少满足：3-200mm。（提供白皮书或产品使用说明书或医疗器械注册证相应的技术要求附录证明）</w:t>
            </w:r>
          </w:p>
          <w:p>
            <w:pPr>
              <w:pStyle w:val="null3"/>
              <w:jc w:val="both"/>
            </w:pPr>
            <w:r>
              <w:rPr>
                <w:sz w:val="21"/>
                <w:b/>
              </w:rPr>
              <w:t>（七）气腹机</w:t>
            </w:r>
          </w:p>
          <w:p>
            <w:pPr>
              <w:pStyle w:val="null3"/>
              <w:jc w:val="both"/>
            </w:pPr>
            <w:r>
              <w:rPr>
                <w:sz w:val="21"/>
              </w:rPr>
              <w:t>▲1.流速≥50升/分钟，流量调节范围至少满足：0.1-50L/min。（提供白皮书或产品使用说明书或医疗器械注册证相应的技术要求附录证明）</w:t>
            </w:r>
          </w:p>
          <w:p>
            <w:pPr>
              <w:pStyle w:val="null3"/>
              <w:jc w:val="both"/>
            </w:pPr>
            <w:r>
              <w:rPr>
                <w:sz w:val="21"/>
              </w:rPr>
              <w:t>2.压力范围至少满足：1mmHg-30mmHg，气压显示准确性±2mmHg以内。</w:t>
            </w:r>
          </w:p>
          <w:p>
            <w:pPr>
              <w:pStyle w:val="null3"/>
              <w:jc w:val="both"/>
            </w:pPr>
            <w:r>
              <w:rPr>
                <w:sz w:val="21"/>
              </w:rPr>
              <w:t>3.采用触摸屏设计，可显示参数和故障信息。</w:t>
            </w:r>
          </w:p>
          <w:p>
            <w:pPr>
              <w:pStyle w:val="null3"/>
              <w:jc w:val="both"/>
            </w:pPr>
            <w:r>
              <w:rPr>
                <w:sz w:val="21"/>
              </w:rPr>
              <w:t>4.至少具备：少儿模式、成人模式、肥胖模式、后腹腔模式，亦可自定义模式。</w:t>
            </w:r>
          </w:p>
          <w:p>
            <w:pPr>
              <w:pStyle w:val="null3"/>
              <w:jc w:val="both"/>
            </w:pPr>
            <w:r>
              <w:rPr>
                <w:sz w:val="21"/>
              </w:rPr>
              <w:t>5.具有双重报警系统，气压过高、管道堵塞、供气不足、自检失败、温度过高等情况下，既有声音提醒，亦有文字提示。</w:t>
            </w:r>
          </w:p>
          <w:p>
            <w:pPr>
              <w:pStyle w:val="null3"/>
              <w:jc w:val="both"/>
            </w:pPr>
            <w:r>
              <w:rPr>
                <w:sz w:val="21"/>
              </w:rPr>
              <w:t>6.气压过高时，具有自动排气功能。</w:t>
            </w:r>
          </w:p>
          <w:p>
            <w:pPr>
              <w:pStyle w:val="null3"/>
              <w:jc w:val="both"/>
            </w:pPr>
            <w:r>
              <w:rPr>
                <w:sz w:val="21"/>
              </w:rPr>
              <w:t>▲7.具有排烟功能，在负压吸力为0.04-0.06MPa的情况下，最大排烟流量≥8L/min。（提供白皮书或产品使用说明书或医疗器械注册证相应的技术要求附录证明）</w:t>
            </w:r>
          </w:p>
          <w:p>
            <w:pPr>
              <w:pStyle w:val="null3"/>
              <w:jc w:val="both"/>
            </w:pPr>
            <w:r>
              <w:rPr>
                <w:sz w:val="21"/>
              </w:rPr>
              <w:t>8.气腹机末端具备CO₂气体加热功能，加热温度为3</w:t>
            </w:r>
            <w:r>
              <w:rPr>
                <w:sz w:val="21"/>
              </w:rPr>
              <w:t>6-</w:t>
            </w:r>
            <w:r>
              <w:rPr>
                <w:sz w:val="21"/>
              </w:rPr>
              <w:t>37℃（人体正常温度范围以内）。</w:t>
            </w:r>
          </w:p>
          <w:p>
            <w:pPr>
              <w:pStyle w:val="null3"/>
              <w:jc w:val="both"/>
            </w:pPr>
            <w:r>
              <w:rPr>
                <w:sz w:val="21"/>
              </w:rPr>
              <w:t>▲9.</w:t>
            </w:r>
            <w:r>
              <w:rPr>
                <w:sz w:val="21"/>
              </w:rPr>
              <w:t xml:space="preserve"> </w:t>
            </w:r>
            <w:r>
              <w:rPr>
                <w:sz w:val="21"/>
              </w:rPr>
              <w:t>与摄像主机为同一品牌。</w:t>
            </w:r>
          </w:p>
          <w:p>
            <w:pPr>
              <w:pStyle w:val="null3"/>
              <w:jc w:val="both"/>
            </w:pPr>
            <w:r>
              <w:rPr>
                <w:sz w:val="21"/>
                <w:b/>
              </w:rPr>
              <w:t>（八）医用台车</w:t>
            </w:r>
          </w:p>
          <w:p>
            <w:pPr>
              <w:pStyle w:val="null3"/>
              <w:jc w:val="both"/>
            </w:pPr>
            <w:r>
              <w:rPr>
                <w:sz w:val="21"/>
              </w:rPr>
              <w:t>1.台车具有总控开关，可一键开启和关闭腔镜全套设备。</w:t>
            </w:r>
          </w:p>
          <w:p>
            <w:pPr>
              <w:pStyle w:val="null3"/>
              <w:jc w:val="both"/>
            </w:pPr>
            <w:r>
              <w:rPr>
                <w:sz w:val="21"/>
              </w:rPr>
              <w:t>2.具有后盖门及线缆管理设计，方便收纳。</w:t>
            </w:r>
          </w:p>
          <w:p>
            <w:pPr>
              <w:pStyle w:val="null3"/>
              <w:jc w:val="both"/>
            </w:pPr>
            <w:r>
              <w:rPr>
                <w:sz w:val="21"/>
                <w:b/>
              </w:rPr>
              <w:t>三、每套配置至少包括：</w:t>
            </w:r>
          </w:p>
          <w:p>
            <w:pPr>
              <w:pStyle w:val="null3"/>
              <w:jc w:val="both"/>
            </w:pPr>
            <w:r>
              <w:rPr>
                <w:sz w:val="21"/>
              </w:rPr>
              <w:t>1.   4K 3D荧光摄像系统  1套</w:t>
            </w:r>
          </w:p>
          <w:p>
            <w:pPr>
              <w:pStyle w:val="null3"/>
              <w:jc w:val="both"/>
            </w:pPr>
            <w:r>
              <w:rPr>
                <w:sz w:val="21"/>
              </w:rPr>
              <w:t>2.</w:t>
            </w:r>
            <w:r>
              <w:rPr>
                <w:sz w:val="21"/>
              </w:rPr>
              <w:t xml:space="preserve">   </w:t>
            </w:r>
            <w:r>
              <w:rPr>
                <w:sz w:val="21"/>
              </w:rPr>
              <w:t>医用内窥镜冷光源（至少配</w:t>
            </w:r>
            <w:r>
              <w:rPr>
                <w:sz w:val="21"/>
              </w:rPr>
              <w:t>3条导光束） 1套</w:t>
            </w:r>
          </w:p>
          <w:p>
            <w:pPr>
              <w:pStyle w:val="null3"/>
              <w:jc w:val="both"/>
            </w:pPr>
            <w:r>
              <w:rPr>
                <w:sz w:val="21"/>
              </w:rPr>
              <w:t>3.   ≥32寸4K 3D监视器 2台</w:t>
            </w:r>
          </w:p>
          <w:p>
            <w:pPr>
              <w:pStyle w:val="null3"/>
              <w:jc w:val="both"/>
            </w:pPr>
            <w:r>
              <w:rPr>
                <w:sz w:val="21"/>
              </w:rPr>
              <w:t>4.   4K荧光摄像头   1个</w:t>
            </w:r>
          </w:p>
          <w:p>
            <w:pPr>
              <w:pStyle w:val="null3"/>
              <w:jc w:val="both"/>
            </w:pPr>
            <w:r>
              <w:rPr>
                <w:sz w:val="21"/>
              </w:rPr>
              <w:t>5.   4K 3D荧光内窥镜  2根</w:t>
            </w:r>
          </w:p>
          <w:p>
            <w:pPr>
              <w:pStyle w:val="null3"/>
              <w:jc w:val="both"/>
            </w:pPr>
            <w:r>
              <w:rPr>
                <w:sz w:val="21"/>
              </w:rPr>
              <w:t>6.   4K荧光内窥镜   2根</w:t>
            </w:r>
          </w:p>
          <w:p>
            <w:pPr>
              <w:pStyle w:val="null3"/>
              <w:jc w:val="both"/>
            </w:pPr>
            <w:r>
              <w:rPr>
                <w:sz w:val="21"/>
              </w:rPr>
              <w:t>7.</w:t>
            </w:r>
            <w:r>
              <w:rPr>
                <w:sz w:val="21"/>
              </w:rPr>
              <w:t xml:space="preserve">   </w:t>
            </w:r>
            <w:r>
              <w:rPr>
                <w:sz w:val="21"/>
              </w:rPr>
              <w:t>气腹机</w:t>
            </w:r>
            <w:r>
              <w:rPr>
                <w:sz w:val="21"/>
              </w:rPr>
              <w:t>1台</w:t>
            </w:r>
          </w:p>
          <w:p>
            <w:pPr>
              <w:pStyle w:val="null3"/>
              <w:jc w:val="both"/>
            </w:pPr>
            <w:r>
              <w:rPr>
                <w:sz w:val="21"/>
              </w:rPr>
              <w:t>8.</w:t>
            </w:r>
            <w:r>
              <w:rPr>
                <w:sz w:val="21"/>
              </w:rPr>
              <w:t xml:space="preserve">  </w:t>
            </w:r>
            <w:r>
              <w:rPr>
                <w:sz w:val="21"/>
              </w:rPr>
              <w:t>医用台车</w:t>
            </w:r>
            <w:r>
              <w:rPr>
                <w:sz w:val="21"/>
              </w:rPr>
              <w:t xml:space="preserve">   </w:t>
            </w:r>
            <w:r>
              <w:rPr>
                <w:sz w:val="21"/>
              </w:rPr>
              <w:t>1台</w:t>
            </w:r>
          </w:p>
          <w:p>
            <w:pPr>
              <w:pStyle w:val="null3"/>
              <w:jc w:val="both"/>
            </w:pPr>
            <w:r>
              <w:rPr>
                <w:sz w:val="21"/>
              </w:rPr>
              <w:t>9.   3D眼镜    ≥10副</w:t>
            </w:r>
          </w:p>
          <w:p>
            <w:pPr>
              <w:pStyle w:val="null3"/>
              <w:jc w:val="both"/>
            </w:pPr>
            <w:r>
              <w:rPr>
                <w:sz w:val="21"/>
              </w:rPr>
              <w:t>10.</w:t>
            </w:r>
            <w:r>
              <w:rPr>
                <w:sz w:val="21"/>
              </w:rPr>
              <w:t xml:space="preserve">  </w:t>
            </w:r>
            <w:r>
              <w:rPr>
                <w:sz w:val="21"/>
              </w:rPr>
              <w:t>内窥镜消毒盒</w:t>
            </w:r>
            <w:r>
              <w:rPr>
                <w:sz w:val="21"/>
              </w:rPr>
              <w:t xml:space="preserve">     </w:t>
            </w:r>
            <w:r>
              <w:rPr>
                <w:sz w:val="21"/>
              </w:rPr>
              <w:t>≥4个</w:t>
            </w:r>
          </w:p>
          <w:p>
            <w:pPr>
              <w:pStyle w:val="null3"/>
              <w:jc w:val="both"/>
            </w:pPr>
            <w:r>
              <w:rPr>
                <w:sz w:val="21"/>
              </w:rPr>
              <w:t>11.</w:t>
            </w:r>
            <w:r>
              <w:rPr>
                <w:sz w:val="21"/>
              </w:rPr>
              <w:t xml:space="preserve">  </w:t>
            </w:r>
            <w:r>
              <w:rPr>
                <w:sz w:val="21"/>
              </w:rPr>
              <w:t>图文工作站（带刻录装置）</w:t>
            </w:r>
            <w:r>
              <w:rPr>
                <w:sz w:val="21"/>
              </w:rPr>
              <w:t>1套</w:t>
            </w:r>
          </w:p>
          <w:p>
            <w:pPr>
              <w:pStyle w:val="null3"/>
              <w:jc w:val="both"/>
            </w:pPr>
            <w:r>
              <w:rPr>
                <w:sz w:val="21"/>
              </w:rPr>
              <w:t>12.</w:t>
            </w:r>
            <w:r>
              <w:rPr>
                <w:sz w:val="21"/>
              </w:rPr>
              <w:t xml:space="preserve">  </w:t>
            </w:r>
            <w:r>
              <w:rPr>
                <w:sz w:val="21"/>
              </w:rPr>
              <w:t>其他（如有请注明）</w:t>
            </w:r>
          </w:p>
          <w:p>
            <w:pPr>
              <w:pStyle w:val="null3"/>
              <w:jc w:val="both"/>
            </w:pPr>
            <w:r>
              <w:rPr>
                <w:sz w:val="21"/>
                <w:b/>
              </w:rPr>
              <w:t>四、其他</w:t>
            </w:r>
          </w:p>
          <w:p>
            <w:pPr>
              <w:pStyle w:val="null3"/>
              <w:jc w:val="both"/>
            </w:pPr>
            <w:r>
              <w:rPr>
                <w:sz w:val="21"/>
              </w:rPr>
              <w:t>（一）中标人负责接入医院相关信息系统（若产品具备连接功能），相关费用均包含在投标总价内。</w:t>
            </w:r>
          </w:p>
          <w:p>
            <w:pPr>
              <w:pStyle w:val="null3"/>
              <w:jc w:val="both"/>
            </w:pPr>
            <w:r>
              <w:rPr>
                <w:sz w:val="21"/>
              </w:rPr>
              <w:t>（二）在投标文件中列出主要医用耗材、易损件和维修配件的价格（价格表参考招标文件格式，格式自拟，内容涵盖但不限于：名称、规格型号、品牌、产地、制造商名称、单价信息）。</w:t>
            </w:r>
          </w:p>
          <w:p>
            <w:pPr>
              <w:pStyle w:val="null3"/>
              <w:jc w:val="both"/>
            </w:pPr>
            <w:r>
              <w:rPr>
                <w:sz w:val="21"/>
                <w:b/>
              </w:rPr>
              <w:t>注：</w:t>
            </w:r>
            <w:r>
              <w:rPr>
                <w:sz w:val="21"/>
                <w:b/>
              </w:rPr>
              <w:t>1.以技术（参数）要求序号最细的（如一、与1.之间，1.为最细序号）作为一项参数。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广州医科大学附属第二医院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采购机构代理服务收费标准：本次招标向中标人收取招标代理服务费。 以中标通知书中的中标金额作为招标代理服务费的计算基数。 参照《广东省物价局粤价函〔2013〕1233号》规定的标准费率下浮22%。 应以银行转账方式向采购代理机构直接缴纳招标代理服务费，付至采购代理机构发出的《领取《中标通知书》通知》的账号。</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其他，1.资金来源：财政性资金医院资金，本项目属于政府采购项目。 2.招标文件附件：投标人应将招标公告中“相关附件”（如有）内容填写好相关信息后附在投标文件中。 3.投标文件内证明材料：投标人所提供的证明材料复印件或扫描件须清晰可辨，明确反映相关响应的信息，否则可能导致其投标无效或被拒绝。</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 （http://www.cfen.com.cn/），广东信诚招标代理咨询有限公司(http://www.gdxczb.cn/)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 （http://www.cfen.com.cn/），广东信诚招标代理咨询有限公司(http://www.gdxczb.cn/)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510050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采购包1(4K荧光3D腹腔镜系统)：综合评分法,是指投标文件满足招标文件全部实质性要求，且按照评审因素的量化指标评审得分最高的投标人为中标候选人的评标方法。（最低报价不是中标的唯一依据。）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采购包1（4K荧光3D腹腔镜系统）：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采购包1（4K荧光3D腹腔镜系统）：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提供书面声明（格式自定）或相关证明材料；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提供书面声明（格式自定）或相关证明材料；</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提供书面声明（格式自定）或相关证明材料；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6）法律、行政法规规定的其他条件：按投标函相关承诺要求内容。</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需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本采购包不接受联合体投标。提供书面声明（格式自定）。</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无，本采购包不属于专门面向中小企业采购的项目。本采购包的中小企业划分标准所属行业为：工业。</w:t>
            </w:r>
          </w:p>
        </w:tc>
      </w:tr>
    </w:tbl>
    <w:p>
      <w:pPr>
        <w:pStyle w:val="null3"/>
        <w:ind w:firstLine="480"/>
      </w:pPr>
      <w:r>
        <w:rPr/>
        <w:t>表二符合性审查表：</w:t>
      </w:r>
    </w:p>
    <w:p>
      <w:pPr>
        <w:pStyle w:val="null3"/>
      </w:pPr>
      <w:r>
        <w:rPr/>
        <w:t>采购包1（4K荧光3D腹腔镜系统）：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投标总报价是固定价且未超过本项目采购预算。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采购包1(4K荧光3D腹腔镜系统):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设备技术参数响应程度、性能符合性 (30.0分)</w:t>
            </w:r>
          </w:p>
        </w:tc>
        <w:tc>
          <w:tcPr>
            <w:tcW w:type="dxa" w:w="5076"/>
          </w:tcPr>
          <w:p>
            <w:pPr>
              <w:pStyle w:val="null3"/>
              <w:jc w:val="left"/>
            </w:pPr>
            <w:r>
              <w:rPr/>
              <w:t>根据投标人所投产品对 “技术要求”的响应情况进行评审： 对 18 项带“▲”的技术要求进行逐一响应，本小项共30分，投标人本小项得分=投标人响应带“▲”项数/18项×30分。 【备注：如采购需求中有明确要求提供证明材料的，则以采购需求要求的为准；如采购需求中无明确要求证明材料的，则投标人须提供投标产品的产品彩页或白皮书或产品使用说明书（如为英文版，请同时提供中文版加盖投标人公章）或第三方检测机构出具的检测报告复印件或盖有厂家公章的技术参数（中文版）确认函作为技术证明文件。凡不符合上述要求的，将视为无效技术支持资料。】</w:t>
            </w:r>
          </w:p>
        </w:tc>
      </w:tr>
      <w:tr>
        <w:tc>
          <w:tcPr>
            <w:tcW w:type="dxa" w:w="922"/>
            <w:gridSpan w:val="2"/>
            <w:vMerge/>
          </w:tcPr>
          <w:p/>
        </w:tc>
        <w:tc>
          <w:tcPr>
            <w:tcW w:type="dxa" w:w="2307"/>
          </w:tcPr>
          <w:p>
            <w:pPr>
              <w:pStyle w:val="null3"/>
              <w:jc w:val="left"/>
            </w:pPr>
            <w:r>
              <w:rPr/>
              <w:t>设备技术参数响应程度、性能符合性 (12.0分)</w:t>
            </w:r>
          </w:p>
        </w:tc>
        <w:tc>
          <w:tcPr>
            <w:tcW w:type="dxa" w:w="5076"/>
          </w:tcPr>
          <w:p>
            <w:pPr>
              <w:pStyle w:val="null3"/>
              <w:jc w:val="left"/>
            </w:pPr>
            <w:r>
              <w:rPr/>
              <w:t>根据投标人所投产品对 “技术要求”的响应情况进行评审： 对65项非带“▲”、“★”的技术要求进行逐一响应，本小项共12分，投标人本小项得分=投标人响应非带“▲”、“★”项数/65项×12分。 【备注：采购需求中有明确要求提供证明材料的，则以采购需求要求的为准；如采购需求中无明确要求证明材料的，则提供根据投标人在《技术和服务要求响应表》中的响应情况进行评审，未按要求提供证明材料或未响应视为负偏离。凡是标有序号的一般条款均以一项单独的条款计算，无论是否隶属于上一级编号】</w:t>
            </w:r>
          </w:p>
        </w:tc>
      </w:tr>
      <w:tr>
        <w:tc>
          <w:tcPr>
            <w:tcW w:type="dxa" w:w="922"/>
            <w:gridSpan w:val="2"/>
            <w:vMerge/>
          </w:tcPr>
          <w:p/>
        </w:tc>
        <w:tc>
          <w:tcPr>
            <w:tcW w:type="dxa" w:w="2307"/>
          </w:tcPr>
          <w:p>
            <w:pPr>
              <w:pStyle w:val="null3"/>
              <w:jc w:val="left"/>
            </w:pPr>
            <w:r>
              <w:rPr/>
              <w:t>产品保障情况 (3.0分)</w:t>
            </w:r>
          </w:p>
        </w:tc>
        <w:tc>
          <w:tcPr>
            <w:tcW w:type="dxa" w:w="5076"/>
          </w:tcPr>
          <w:p>
            <w:pPr>
              <w:pStyle w:val="null3"/>
              <w:jc w:val="left"/>
            </w:pPr>
            <w:r>
              <w:rPr/>
              <w:t>为了保证产品具有追溯性且保证质量，若投标人为所投产品生产企业的，需提供说明函（并加盖投标人公章）证明所投产品为投标人自行生产；若投标人为代理商、经销商投标的，提供生产企业或其授权的经销商（代理商）出具的有效授权证明。 本项最高得3分。 未提供或专家无法认定的不得分。</w:t>
            </w:r>
          </w:p>
        </w:tc>
      </w:tr>
      <w:tr>
        <w:tc>
          <w:tcPr>
            <w:tcW w:type="dxa" w:w="922"/>
            <w:gridSpan w:val="2"/>
            <w:vMerge/>
          </w:tcPr>
          <w:p/>
        </w:tc>
        <w:tc>
          <w:tcPr>
            <w:tcW w:type="dxa" w:w="2307"/>
          </w:tcPr>
          <w:p>
            <w:pPr>
              <w:pStyle w:val="null3"/>
              <w:jc w:val="left"/>
            </w:pPr>
            <w:r>
              <w:rPr/>
              <w:t>技术说明 (4.0分)</w:t>
            </w:r>
          </w:p>
        </w:tc>
        <w:tc>
          <w:tcPr>
            <w:tcW w:type="dxa" w:w="5076"/>
          </w:tcPr>
          <w:p>
            <w:pPr>
              <w:pStyle w:val="null3"/>
              <w:jc w:val="left"/>
            </w:pPr>
            <w:r>
              <w:rPr/>
              <w:t>投标人结合本项目的技术要求、实施目标和具体特点，作出合理的、具有可操作性的技术说明： （1）技术说明科学合理，配置科学合理，质量安全可靠，关键部件匹配性强，得4分； （2）技术说明有一定的科学性，配置较科学合理，质量较安全可靠，关键部件匹配性弱，得2分； （3）技术说明对本项目要求的响应有较多偏差或缺漏，技术说明合理性、可操作性有一定的欠缺，得1分； （4）无提供不得分。 【备注：需提供技术说明及所投产品制造商/生产厂家执行的货物制造、检验和验收标准或第三方证明文件】</w:t>
            </w:r>
          </w:p>
        </w:tc>
      </w:tr>
      <w:tr>
        <w:tc>
          <w:tcPr>
            <w:tcW w:type="dxa" w:w="922"/>
            <w:gridSpan w:val="2"/>
            <w:vMerge/>
          </w:tcPr>
          <w:p/>
        </w:tc>
        <w:tc>
          <w:tcPr>
            <w:tcW w:type="dxa" w:w="2307"/>
          </w:tcPr>
          <w:p>
            <w:pPr>
              <w:pStyle w:val="null3"/>
              <w:jc w:val="left"/>
            </w:pPr>
            <w:r>
              <w:rPr/>
              <w:t>项目实施方案 (4.0分)</w:t>
            </w:r>
          </w:p>
        </w:tc>
        <w:tc>
          <w:tcPr>
            <w:tcW w:type="dxa" w:w="5076"/>
          </w:tcPr>
          <w:p>
            <w:pPr>
              <w:pStyle w:val="null3"/>
              <w:jc w:val="left"/>
            </w:pPr>
            <w:r>
              <w:rPr/>
              <w:t>根据投标人提供的针对本项目的实施方案（包括但不限于安装调试方案、验收方案、质量保证措施、供货计划）进行评审： （1）涵盖上述所有内容且实施方案详细完整，清晰全面，严谨规范的，优于采购需求的，得4分； （2）涵盖上述所有内容且实施方案完整但不具体，清晰但不全面，规范但不严谨的，满足采购需求的，得2分； （3）涵盖上述所有内容且实施方案不完整，不清晰、不严谨的，不满足采购需求的，得1分； （4）未提供对应方案的不得分。</w:t>
            </w:r>
          </w:p>
        </w:tc>
      </w:tr>
      <w:tr>
        <w:tc>
          <w:tcPr>
            <w:tcW w:type="dxa" w:w="922"/>
            <w:gridSpan w:val="2"/>
            <w:vMerge/>
          </w:tcPr>
          <w:p/>
        </w:tc>
        <w:tc>
          <w:tcPr>
            <w:tcW w:type="dxa" w:w="2307"/>
          </w:tcPr>
          <w:p>
            <w:pPr>
              <w:pStyle w:val="null3"/>
              <w:jc w:val="left"/>
            </w:pPr>
            <w:r>
              <w:rPr/>
              <w:t>技术培训方案 (2.0分)</w:t>
            </w:r>
          </w:p>
        </w:tc>
        <w:tc>
          <w:tcPr>
            <w:tcW w:type="dxa" w:w="5076"/>
          </w:tcPr>
          <w:p>
            <w:pPr>
              <w:pStyle w:val="null3"/>
              <w:jc w:val="left"/>
            </w:pPr>
            <w:r>
              <w:rPr/>
              <w:t>根据投标人提供的技术培训方案（包括但不限于培训目标、培训对象、培训方法、培训内容）是否合理，与项目实施的配合程度进行评审： （1）涵盖上述所有内容且技术培训方案详细完整，清晰全面，严谨规范的，优于采购需求的，得2分； （2）涵盖上述所有内容且技术培训方案完整但不具体，清晰但不全面，规范但不严谨的，满足采购需求的，得1分； （3）涵盖上述所有内容且技术培训方案不完整，不清晰、不严谨的，不满足采购需求的，得0.5分； （4）未提供对应方案的不得分。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一般商务条款的响应情况 (2.0分)</w:t>
            </w:r>
          </w:p>
        </w:tc>
        <w:tc>
          <w:tcPr>
            <w:tcW w:type="dxa" w:w="5076"/>
          </w:tcPr>
          <w:p>
            <w:pPr>
              <w:pStyle w:val="null3"/>
              <w:jc w:val="left"/>
            </w:pPr>
            <w:r>
              <w:rPr/>
              <w:t>投标人对一般商务要求进行逐一响应，本小项共2分： （1）全部满足或优于，得2分； （2）负偏离总数≤4项的，每出现一项负偏离，扣0.5分； （3）负偏离总数≥4项的，得0分。</w:t>
            </w:r>
          </w:p>
        </w:tc>
      </w:tr>
      <w:tr>
        <w:tc>
          <w:tcPr>
            <w:tcW w:type="dxa" w:w="922"/>
            <w:gridSpan w:val="2"/>
            <w:vMerge/>
          </w:tcPr>
          <w:p/>
        </w:tc>
        <w:tc>
          <w:tcPr>
            <w:tcW w:type="dxa" w:w="2307"/>
          </w:tcPr>
          <w:p>
            <w:pPr>
              <w:pStyle w:val="null3"/>
              <w:jc w:val="left"/>
            </w:pPr>
            <w:r>
              <w:rPr/>
              <w:t>投标人的业绩情况(以合同签订为准) (2.0分)</w:t>
            </w:r>
          </w:p>
        </w:tc>
        <w:tc>
          <w:tcPr>
            <w:tcW w:type="dxa" w:w="5076"/>
          </w:tcPr>
          <w:p>
            <w:pPr>
              <w:pStyle w:val="null3"/>
              <w:jc w:val="left"/>
            </w:pPr>
            <w:r>
              <w:rPr/>
              <w:t>投标人所提供的项目业绩应同时满足以下条件： 1.合同标的与本项目采购标的属于同一类别； 2.签订时间为2021年1月1日至今（提供合同复印件并加盖投标人公章，并显示上述内容，每提供一份得1分，满分2分，未提供则不得分）。</w:t>
            </w:r>
          </w:p>
        </w:tc>
      </w:tr>
      <w:tr>
        <w:tc>
          <w:tcPr>
            <w:tcW w:type="dxa" w:w="922"/>
            <w:gridSpan w:val="2"/>
            <w:vMerge/>
          </w:tcPr>
          <w:p/>
        </w:tc>
        <w:tc>
          <w:tcPr>
            <w:tcW w:type="dxa" w:w="2307"/>
          </w:tcPr>
          <w:p>
            <w:pPr>
              <w:pStyle w:val="null3"/>
              <w:jc w:val="left"/>
            </w:pPr>
            <w:r>
              <w:rPr/>
              <w:t>货物免费保修年限 (2.0分)</w:t>
            </w:r>
          </w:p>
        </w:tc>
        <w:tc>
          <w:tcPr>
            <w:tcW w:type="dxa" w:w="5076"/>
          </w:tcPr>
          <w:p>
            <w:pPr>
              <w:pStyle w:val="null3"/>
              <w:jc w:val="left"/>
            </w:pPr>
            <w:r>
              <w:rPr/>
              <w:t>投标人提供的整机免费保修（含内窥镜）年限满足3年的基础上，每增加一年免费保修年限加2分，本项最高不超过2分。 注：提供厂家承诺函并加盖投标人、厂家公章，格式自拟，不提供不得分。</w:t>
            </w:r>
          </w:p>
        </w:tc>
      </w:tr>
      <w:tr>
        <w:tc>
          <w:tcPr>
            <w:tcW w:type="dxa" w:w="922"/>
            <w:gridSpan w:val="2"/>
            <w:vMerge/>
          </w:tcPr>
          <w:p/>
        </w:tc>
        <w:tc>
          <w:tcPr>
            <w:tcW w:type="dxa" w:w="2307"/>
          </w:tcPr>
          <w:p>
            <w:pPr>
              <w:pStyle w:val="null3"/>
              <w:jc w:val="left"/>
            </w:pPr>
            <w:r>
              <w:rPr/>
              <w:t>售后服务方案 (4.0分)</w:t>
            </w:r>
          </w:p>
        </w:tc>
        <w:tc>
          <w:tcPr>
            <w:tcW w:type="dxa" w:w="5076"/>
          </w:tcPr>
          <w:p>
            <w:pPr>
              <w:pStyle w:val="null3"/>
              <w:jc w:val="left"/>
            </w:pPr>
            <w:r>
              <w:rPr/>
              <w:t>根据投标人针对本项目的售后服务方案、承诺（包括但不限于日常维护、巡检、保养方案）及服务便利程度进行评价： （1）涵盖上述所有内容且售后服务方案详细完整，清晰全面，严谨规范的，优于采购需求的，得4分； （2）涵盖上述所有内容且售后服务方案完整但不具体，清晰但不全面，规范但不严谨的，满足采购需求的，得2分； （3）涵盖上述所有内容且售后服务方案不完整，不清晰、不严谨的，不满足采购需求的，得1分； （4）未提供对应方案的不得分。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b/>
        </w:rPr>
        <w:t>采</w:t>
      </w:r>
      <w:r>
        <w:rPr>
          <w:sz w:val="28"/>
          <w:b/>
        </w:rPr>
        <w:t>购</w:t>
      </w:r>
      <w:r>
        <w:rPr>
          <w:sz w:val="28"/>
          <w:b/>
        </w:rPr>
        <w:t>合</w:t>
      </w:r>
      <w:r>
        <w:rPr>
          <w:sz w:val="28"/>
          <w:b/>
        </w:rPr>
        <w:t>同</w:t>
      </w:r>
    </w:p>
    <w:p>
      <w:pPr>
        <w:pStyle w:val="null3"/>
        <w:ind w:firstLine="480"/>
        <w:jc w:val="both"/>
      </w:pPr>
      <w:r>
        <w:rPr>
          <w:sz w:val="21"/>
        </w:rPr>
        <w:t>甲方：广州医科大学附属第二医院</w:t>
      </w:r>
      <w:r>
        <w:rPr>
          <w:sz w:val="21"/>
        </w:rPr>
        <w:t xml:space="preserve">       </w:t>
      </w:r>
      <w:r>
        <w:rPr>
          <w:sz w:val="21"/>
        </w:rPr>
        <w:t>合同编号：</w:t>
      </w:r>
      <w:r>
        <w:rPr>
          <w:sz w:val="21"/>
        </w:rPr>
        <w:t xml:space="preserve">           </w:t>
      </w:r>
    </w:p>
    <w:p>
      <w:pPr>
        <w:pStyle w:val="null3"/>
        <w:ind w:firstLine="480"/>
        <w:jc w:val="both"/>
      </w:pPr>
      <w:r>
        <w:rPr>
          <w:sz w:val="21"/>
        </w:rPr>
        <w:t>乙方：</w:t>
      </w:r>
      <w:r>
        <w:rPr>
          <w:sz w:val="21"/>
        </w:rPr>
        <w:t xml:space="preserve">                               </w:t>
      </w:r>
      <w:r>
        <w:rPr>
          <w:sz w:val="21"/>
        </w:rPr>
        <w:t>签约地点：广东省广州市海珠区</w:t>
      </w:r>
    </w:p>
    <w:p>
      <w:pPr>
        <w:pStyle w:val="null3"/>
        <w:ind w:firstLine="480"/>
        <w:jc w:val="both"/>
      </w:pPr>
      <w:r>
        <w:rPr>
          <w:sz w:val="21"/>
        </w:rPr>
        <w:t xml:space="preserve">    </w:t>
      </w:r>
      <w:r>
        <w:rPr>
          <w:sz w:val="21"/>
        </w:rPr>
        <w:t>根据《中华人民共和国政府采购法》、《中华人民共和国民法典》等法律法规及</w:t>
      </w:r>
      <w:r>
        <w:rPr>
          <w:sz w:val="21"/>
          <w:u w:val="single"/>
        </w:rPr>
        <w:t xml:space="preserve"> </w:t>
      </w:r>
      <w:r>
        <w:rPr>
          <w:sz w:val="21"/>
          <w:u w:val="single"/>
        </w:rPr>
        <w:t xml:space="preserve">          </w:t>
      </w:r>
      <w:r>
        <w:rPr>
          <w:sz w:val="21"/>
        </w:rPr>
        <w:t>，广州医科大学附属第二医院采购医疗设备招标项目（二次）的招标结果和招标文件（采购代理机构：</w:t>
      </w:r>
      <w:r>
        <w:rPr>
          <w:sz w:val="21"/>
          <w:u w:val="single"/>
        </w:rPr>
        <w:t xml:space="preserve">                 </w:t>
      </w:r>
      <w:r>
        <w:rPr>
          <w:sz w:val="21"/>
        </w:rPr>
        <w:t>；招标编号：</w:t>
      </w:r>
      <w:r>
        <w:rPr>
          <w:sz w:val="21"/>
          <w:u w:val="single"/>
        </w:rPr>
        <w:t xml:space="preserve">           </w:t>
      </w:r>
      <w:r>
        <w:rPr>
          <w:sz w:val="21"/>
        </w:rPr>
        <w:t xml:space="preserve"> </w:t>
      </w:r>
      <w:r>
        <w:rPr>
          <w:sz w:val="21"/>
        </w:rPr>
        <w:t>包</w:t>
      </w:r>
      <w:r>
        <w:rPr>
          <w:sz w:val="21"/>
          <w:u w:val="single"/>
        </w:rPr>
        <w:t xml:space="preserve">    </w:t>
      </w:r>
      <w:r>
        <w:rPr>
          <w:sz w:val="21"/>
        </w:rPr>
        <w:t xml:space="preserve"> </w:t>
      </w:r>
      <w:r>
        <w:rPr>
          <w:sz w:val="21"/>
        </w:rPr>
        <w:t>）、院内合同审计（审计编号：</w:t>
      </w:r>
      <w:r>
        <w:rPr>
          <w:sz w:val="21"/>
          <w:u w:val="single"/>
        </w:rPr>
        <w:t xml:space="preserve">      </w:t>
      </w:r>
      <w:r>
        <w:rPr>
          <w:sz w:val="21"/>
        </w:rPr>
        <w:t>）的要求</w:t>
      </w:r>
      <w:r>
        <w:rPr>
          <w:sz w:val="21"/>
        </w:rPr>
        <w:t>,双方协商一致，签订本合同。具体条款如下：</w:t>
      </w:r>
    </w:p>
    <w:p>
      <w:pPr>
        <w:pStyle w:val="null3"/>
        <w:jc w:val="both"/>
      </w:pPr>
      <w:r>
        <w:rPr>
          <w:sz w:val="21"/>
          <w:b/>
        </w:rPr>
        <w:t>1、合同货物</w:t>
      </w:r>
    </w:p>
    <w:p>
      <w:pPr>
        <w:pStyle w:val="null3"/>
        <w:jc w:val="both"/>
      </w:pPr>
      <w:r>
        <w:rPr>
          <w:sz w:val="21"/>
        </w:rPr>
        <w:t>乙方负责向甲方供应下表中所列货物及负责安装调试及提请验收。</w:t>
      </w:r>
    </w:p>
    <w:tbl>
      <w:tblPr>
        <w:tblW w:w="0" w:type="auto"/>
        <w:tblBorders>
          <w:top w:val="none" w:color="000000" w:sz="4"/>
          <w:left w:val="none" w:color="000000" w:sz="4"/>
          <w:bottom w:val="none" w:color="000000" w:sz="4"/>
          <w:right w:val="none" w:color="000000" w:sz="4"/>
          <w:insideH w:val="none"/>
          <w:insideV w:val="none"/>
        </w:tblBorders>
      </w:tblPr>
      <w:tblGrid>
        <w:gridCol w:w="1753"/>
        <w:gridCol w:w="1120"/>
        <w:gridCol w:w="1544"/>
        <w:gridCol w:w="625"/>
        <w:gridCol w:w="688"/>
        <w:gridCol w:w="1161"/>
        <w:gridCol w:w="1411"/>
      </w:tblGrid>
      <w:tr>
        <w:tc>
          <w:tcPr>
            <w:tcW w:type="dxa" w:w="17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sz w:val="21"/>
              </w:rPr>
              <w:t xml:space="preserve">         </w:t>
            </w:r>
            <w:r>
              <w:rPr>
                <w:sz w:val="21"/>
              </w:rPr>
              <w:t>名称</w:t>
            </w:r>
          </w:p>
        </w:tc>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1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产地厂家</w:t>
            </w:r>
          </w:p>
        </w:tc>
        <w:tc>
          <w:tcPr>
            <w:tcW w:type="dxa" w:w="6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单价（元）</w:t>
            </w:r>
          </w:p>
        </w:tc>
        <w:tc>
          <w:tcPr>
            <w:tcW w:type="dxa" w:w="1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总价（元）</w:t>
            </w:r>
          </w:p>
        </w:tc>
      </w:tr>
      <w:tr>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2、合同总价</w:t>
      </w:r>
    </w:p>
    <w:p>
      <w:pPr>
        <w:pStyle w:val="null3"/>
        <w:ind w:firstLine="420"/>
        <w:jc w:val="both"/>
      </w:pPr>
      <w:r>
        <w:rPr>
          <w:sz w:val="21"/>
        </w:rPr>
        <w:t>总价为人民币：</w:t>
      </w:r>
      <w:r>
        <w:rPr>
          <w:sz w:val="21"/>
        </w:rPr>
        <w:t>¥</w:t>
      </w:r>
      <w:r>
        <w:rPr>
          <w:sz w:val="21"/>
          <w:u w:val="single"/>
        </w:rPr>
        <w:t xml:space="preserve">        </w:t>
      </w:r>
      <w:r>
        <w:rPr>
          <w:sz w:val="21"/>
        </w:rPr>
        <w:t>元，（大写）：</w:t>
      </w:r>
      <w:r>
        <w:rPr>
          <w:sz w:val="21"/>
          <w:u w:val="single"/>
        </w:rPr>
        <w:t xml:space="preserve">            </w:t>
      </w:r>
      <w:r>
        <w:rPr>
          <w:sz w:val="21"/>
        </w:rPr>
        <w:t>元整，该合同总额是货物设计、制造、包装、仓储、装卸、运输、保险、货物进口所需办理海关手续的费用以及为进口应缴纳的一切关税、安装调试、检测、验收合格之前及保修期内保修服务、培训、辅导、备品备件等发生的所有含税费用及不可预见费用。本合同执行期间合同总金额不变。</w:t>
      </w:r>
    </w:p>
    <w:p>
      <w:pPr>
        <w:pStyle w:val="null3"/>
        <w:jc w:val="both"/>
      </w:pPr>
      <w:r>
        <w:rPr>
          <w:sz w:val="21"/>
          <w:b/>
        </w:rPr>
        <w:t>3、合同组成</w:t>
      </w:r>
    </w:p>
    <w:p>
      <w:pPr>
        <w:pStyle w:val="null3"/>
        <w:ind w:firstLine="420"/>
        <w:jc w:val="both"/>
      </w:pPr>
      <w:r>
        <w:rPr>
          <w:sz w:val="21"/>
        </w:rPr>
        <w:t>详细价格、技术说明及其它有关合同货物的特定信息由合同附件说明。所有附件（配置清单、售后服务承诺书、应用培训计划）及本项目的招投标文件、会议纪要、协议、澄清等均为本合同不可分割的部分。</w:t>
      </w:r>
    </w:p>
    <w:p>
      <w:pPr>
        <w:pStyle w:val="null3"/>
        <w:jc w:val="both"/>
      </w:pPr>
      <w:r>
        <w:rPr>
          <w:sz w:val="21"/>
          <w:b/>
        </w:rPr>
        <w:t>4、技术要求</w:t>
      </w:r>
    </w:p>
    <w:p>
      <w:pPr>
        <w:pStyle w:val="null3"/>
        <w:jc w:val="both"/>
      </w:pPr>
      <w:r>
        <w:rPr>
          <w:sz w:val="21"/>
        </w:rPr>
        <w:t>4.1 乙方所提供货物，必须符合国家有关规范和环保要求及甲方的技术要求，并提供厂家检测报告及合格证明。所有货物及服务不得侵犯第三方版权、专利等合法权益。</w:t>
      </w:r>
    </w:p>
    <w:p>
      <w:pPr>
        <w:pStyle w:val="null3"/>
        <w:jc w:val="both"/>
      </w:pPr>
      <w:r>
        <w:rPr>
          <w:sz w:val="21"/>
          <w:b/>
        </w:rPr>
        <w:t>5、合同货物包装、交货、安装、调试及验收</w:t>
      </w:r>
    </w:p>
    <w:p>
      <w:pPr>
        <w:pStyle w:val="null3"/>
        <w:jc w:val="both"/>
      </w:pPr>
      <w:r>
        <w:rPr>
          <w:sz w:val="21"/>
        </w:rPr>
        <w:t>5.1 合同货物的包装</w:t>
      </w:r>
    </w:p>
    <w:p>
      <w:pPr>
        <w:pStyle w:val="null3"/>
        <w:jc w:val="both"/>
      </w:pPr>
      <w:r>
        <w:rPr>
          <w:sz w:val="21"/>
        </w:rPr>
        <w:t>货物的包装均应有良好的防湿、防锈、防潮、防雨、防腐及防碰撞的措施。凡由于包装不良造成的损失和由此产生的费用均由乙方承担。</w:t>
      </w:r>
    </w:p>
    <w:p>
      <w:pPr>
        <w:pStyle w:val="null3"/>
        <w:jc w:val="both"/>
      </w:pPr>
      <w:r>
        <w:rPr>
          <w:sz w:val="21"/>
        </w:rPr>
        <w:t>5.2 合同货物的交货</w:t>
      </w:r>
    </w:p>
    <w:p>
      <w:pPr>
        <w:pStyle w:val="null3"/>
        <w:jc w:val="both"/>
      </w:pPr>
      <w:r>
        <w:rPr>
          <w:sz w:val="21"/>
        </w:rPr>
        <w:t>5.2.1 乙方交货时间：</w:t>
      </w:r>
      <w:r>
        <w:rPr>
          <w:sz w:val="21"/>
          <w:b/>
        </w:rPr>
        <w:t>合同签订后</w:t>
      </w:r>
      <w:r>
        <w:rPr>
          <w:sz w:val="21"/>
          <w:b/>
          <w:u w:val="single"/>
        </w:rPr>
        <w:t xml:space="preserve">       </w:t>
      </w:r>
      <w:r>
        <w:rPr>
          <w:sz w:val="21"/>
          <w:b/>
        </w:rPr>
        <w:t>天内</w:t>
      </w:r>
      <w:r>
        <w:rPr>
          <w:sz w:val="21"/>
        </w:rPr>
        <w:t>。</w:t>
      </w:r>
    </w:p>
    <w:p>
      <w:pPr>
        <w:pStyle w:val="null3"/>
        <w:jc w:val="both"/>
      </w:pPr>
      <w:r>
        <w:rPr>
          <w:sz w:val="21"/>
        </w:rPr>
        <w:t>5.2.2 乙方交货地点：广州医科大学附属第二医院指定地点（地址：</w:t>
      </w:r>
      <w:r>
        <w:rPr>
          <w:sz w:val="21"/>
          <w:u w:val="single"/>
        </w:rPr>
        <w:t xml:space="preserve"> </w:t>
      </w:r>
      <w:r>
        <w:rPr>
          <w:sz w:val="21"/>
          <w:u w:val="single"/>
        </w:rPr>
        <w:t xml:space="preserve">      </w:t>
      </w:r>
      <w:r>
        <w:rPr>
          <w:sz w:val="21"/>
        </w:rPr>
        <w:t>），交货过程中所需的人力和工具及其所发生的一切费用由乙方负责。</w:t>
      </w:r>
    </w:p>
    <w:p>
      <w:pPr>
        <w:pStyle w:val="null3"/>
        <w:jc w:val="both"/>
      </w:pPr>
      <w:r>
        <w:rPr>
          <w:sz w:val="21"/>
        </w:rPr>
        <w:t>5.2.3收货人：</w:t>
      </w:r>
      <w:r>
        <w:rPr>
          <w:sz w:val="21"/>
          <w:u w:val="single"/>
        </w:rPr>
        <w:t xml:space="preserve">          </w:t>
      </w:r>
      <w:r>
        <w:rPr>
          <w:sz w:val="21"/>
        </w:rPr>
        <w:t xml:space="preserve">                  </w:t>
      </w:r>
      <w:r>
        <w:rPr>
          <w:sz w:val="21"/>
        </w:rPr>
        <w:t>联系电话：</w:t>
      </w:r>
      <w:r>
        <w:rPr>
          <w:sz w:val="21"/>
          <w:u w:val="single"/>
        </w:rPr>
        <w:t xml:space="preserve">          </w:t>
      </w:r>
      <w:r>
        <w:rPr>
          <w:sz w:val="21"/>
        </w:rPr>
        <w:t xml:space="preserve"> </w:t>
      </w:r>
    </w:p>
    <w:p>
      <w:pPr>
        <w:pStyle w:val="null3"/>
        <w:jc w:val="both"/>
      </w:pPr>
      <w:r>
        <w:rPr>
          <w:sz w:val="21"/>
        </w:rPr>
        <w:t>5.2.4发货人：</w:t>
      </w:r>
      <w:r>
        <w:rPr>
          <w:sz w:val="21"/>
          <w:u w:val="single"/>
        </w:rPr>
        <w:t xml:space="preserve">          </w:t>
      </w:r>
      <w:r>
        <w:rPr>
          <w:sz w:val="21"/>
        </w:rPr>
        <w:t xml:space="preserve">                  </w:t>
      </w:r>
      <w:r>
        <w:rPr>
          <w:sz w:val="21"/>
        </w:rPr>
        <w:t>联系电话：</w:t>
      </w:r>
      <w:r>
        <w:rPr>
          <w:sz w:val="21"/>
          <w:u w:val="single"/>
        </w:rPr>
        <w:t xml:space="preserve">          </w:t>
      </w:r>
      <w:r>
        <w:rPr>
          <w:sz w:val="21"/>
        </w:rPr>
        <w:t xml:space="preserve">    </w:t>
      </w:r>
    </w:p>
    <w:p>
      <w:pPr>
        <w:pStyle w:val="null3"/>
        <w:jc w:val="both"/>
      </w:pPr>
      <w:r>
        <w:rPr>
          <w:sz w:val="21"/>
        </w:rPr>
        <w:t>5.3 合同货物的保管</w:t>
      </w:r>
    </w:p>
    <w:p>
      <w:pPr>
        <w:pStyle w:val="null3"/>
        <w:jc w:val="both"/>
      </w:pPr>
      <w:r>
        <w:rPr>
          <w:sz w:val="21"/>
        </w:rPr>
        <w:t>5.3.1货物的验收前保管由乙方负责，直至项目安装、验收完毕，货物在保管期间造成损毁或者灭失的,由乙方承担责任。</w:t>
      </w:r>
    </w:p>
    <w:p>
      <w:pPr>
        <w:pStyle w:val="null3"/>
        <w:jc w:val="both"/>
      </w:pPr>
      <w:r>
        <w:rPr>
          <w:sz w:val="21"/>
        </w:rPr>
        <w:t>5.3.2乙方应为货物购买安装调试验收合格前的保险，保险费用由乙方承担。乙方应为其派出的现场服务人员购买人身意外保险，保险费用由乙方承担。</w:t>
      </w:r>
    </w:p>
    <w:p>
      <w:pPr>
        <w:pStyle w:val="null3"/>
        <w:jc w:val="both"/>
      </w:pPr>
      <w:r>
        <w:rPr>
          <w:sz w:val="21"/>
        </w:rPr>
        <w:t>5.4 合同货物的安装调试</w:t>
      </w:r>
    </w:p>
    <w:p>
      <w:pPr>
        <w:pStyle w:val="null3"/>
        <w:jc w:val="both"/>
      </w:pPr>
      <w:r>
        <w:rPr>
          <w:sz w:val="21"/>
        </w:rPr>
        <w:t>5.4.1.在货物到达甲方指定地点后，乙方应</w:t>
      </w:r>
      <w:r>
        <w:rPr>
          <w:sz w:val="21"/>
          <w:u w:val="single"/>
        </w:rPr>
        <w:t xml:space="preserve">    </w:t>
      </w:r>
      <w:r>
        <w:rPr>
          <w:sz w:val="21"/>
        </w:rPr>
        <w:t>天内派工程技术人员到达现场，并在甲方实际要求的天数内在甲方人员在场的情况下开箱清点货物，组织安装、调试，承担由此发生的一切费用。厂家从进场安装开始，应在</w:t>
      </w:r>
      <w:r>
        <w:rPr>
          <w:sz w:val="21"/>
          <w:u w:val="single"/>
        </w:rPr>
        <w:t xml:space="preserve"> </w:t>
      </w:r>
      <w:r>
        <w:rPr>
          <w:sz w:val="21"/>
          <w:u w:val="single"/>
        </w:rPr>
        <w:t xml:space="preserve">   </w:t>
      </w:r>
      <w:r>
        <w:rPr>
          <w:sz w:val="21"/>
        </w:rPr>
        <w:t>天内完成安装与调试。</w:t>
      </w:r>
    </w:p>
    <w:p>
      <w:pPr>
        <w:pStyle w:val="null3"/>
        <w:jc w:val="both"/>
      </w:pPr>
      <w:r>
        <w:rPr>
          <w:sz w:val="21"/>
        </w:rPr>
        <w:t>5.4.2.货物安装后，乙方应向用户提交本机安装调试报告（如有），以及按厂方标准进行的各项检测数据。乙方应向甲方提交详细的安装、调试及验收过程中所有相关文档。</w:t>
      </w:r>
    </w:p>
    <w:p>
      <w:pPr>
        <w:pStyle w:val="null3"/>
        <w:jc w:val="both"/>
      </w:pPr>
      <w:r>
        <w:rPr>
          <w:sz w:val="21"/>
        </w:rPr>
        <w:t>5.4.3 乙方负责合同项下的货物安装并调试至正常运行的最佳状态，一切费用由乙方负责。</w:t>
      </w:r>
    </w:p>
    <w:p>
      <w:pPr>
        <w:pStyle w:val="null3"/>
        <w:jc w:val="both"/>
      </w:pPr>
      <w:r>
        <w:rPr>
          <w:sz w:val="21"/>
        </w:rPr>
        <w:t>5.4.4 乙方安装时须对各安装场地内的其它设备、设施有良好保护措施。</w:t>
      </w:r>
    </w:p>
    <w:p>
      <w:pPr>
        <w:pStyle w:val="null3"/>
        <w:jc w:val="both"/>
      </w:pPr>
      <w:r>
        <w:rPr>
          <w:sz w:val="21"/>
        </w:rPr>
        <w:t>5.5  合同货物的验收</w:t>
      </w:r>
    </w:p>
    <w:p>
      <w:pPr>
        <w:pStyle w:val="null3"/>
        <w:jc w:val="both"/>
      </w:pPr>
      <w:r>
        <w:rPr>
          <w:sz w:val="21"/>
        </w:rPr>
        <w:t>5.5.1 合同货物安装调试完成并移交所有资料文档后</w:t>
      </w:r>
      <w:r>
        <w:rPr>
          <w:sz w:val="21"/>
          <w:u w:val="single"/>
        </w:rPr>
        <w:t xml:space="preserve">    </w:t>
      </w:r>
      <w:r>
        <w:rPr>
          <w:sz w:val="21"/>
        </w:rPr>
        <w:t>个工作日内验收，验收应在甲乙双方共同参加下进行。甲方验收前，货物毁损灭失的风险全部由乙方承担，验收时间点以甲方的安装验收报告验收时间为准。</w:t>
      </w:r>
    </w:p>
    <w:p>
      <w:pPr>
        <w:pStyle w:val="null3"/>
        <w:jc w:val="both"/>
      </w:pPr>
      <w:r>
        <w:rPr>
          <w:sz w:val="21"/>
        </w:rPr>
        <w:t>5.5.2 验收按国家有关的规定、规范进行。验收时如发现所交付的货物有短装、次品、损坏或其它不符合本合同规定之情形者，甲方应做出详尽的现场记录，或由甲乙双方签署备忘录。此现场记录或备忘录可用作补充、缺失和更换损坏部件的有效证据。由此产生的有关费用由乙方承担，验收期限相应后延。</w:t>
      </w:r>
    </w:p>
    <w:p>
      <w:pPr>
        <w:pStyle w:val="null3"/>
        <w:jc w:val="both"/>
      </w:pPr>
      <w:r>
        <w:rPr>
          <w:sz w:val="21"/>
        </w:rPr>
        <w:t>5.5.3 如果合同货物运输和安装调试过程中因事故造成货物短缺、损坏，乙方应及时安排换装，以保证合同货物安装调试的成功完成。换货的相关费用由乙方承担。</w:t>
      </w:r>
    </w:p>
    <w:p>
      <w:pPr>
        <w:pStyle w:val="null3"/>
        <w:jc w:val="both"/>
      </w:pPr>
      <w:r>
        <w:rPr>
          <w:sz w:val="21"/>
        </w:rPr>
        <w:t>5.5.4 国内产品或合资厂的产品必须具备出厂合格证、产品使用说明书、保修证明。</w:t>
      </w:r>
    </w:p>
    <w:p>
      <w:pPr>
        <w:pStyle w:val="null3"/>
        <w:jc w:val="both"/>
      </w:pPr>
      <w:r>
        <w:rPr>
          <w:sz w:val="21"/>
        </w:rPr>
        <w:t>5.5.5 进口产品必须具备商检部门的检验证明。</w:t>
      </w:r>
    </w:p>
    <w:p>
      <w:pPr>
        <w:pStyle w:val="null3"/>
        <w:jc w:val="both"/>
      </w:pPr>
      <w:r>
        <w:rPr>
          <w:sz w:val="21"/>
        </w:rPr>
        <w:t>5.5.6 属国家强检范围内的计量器具由乙方完成首次计量检定并取得计量检定证书。</w:t>
      </w:r>
    </w:p>
    <w:p>
      <w:pPr>
        <w:pStyle w:val="null3"/>
        <w:jc w:val="both"/>
      </w:pPr>
      <w:r>
        <w:rPr>
          <w:sz w:val="21"/>
        </w:rPr>
        <w:t>5.6  如乙方没有及时提供相关证件（如商检证等），有可能影响验收进程，所导致的经济损失，由乙方自行承担。</w:t>
      </w:r>
    </w:p>
    <w:p>
      <w:pPr>
        <w:pStyle w:val="null3"/>
        <w:jc w:val="both"/>
      </w:pPr>
      <w:r>
        <w:rPr>
          <w:sz w:val="21"/>
        </w:rPr>
        <w:t>5.7  乙方保证合同项下提供的货物不侵犯任何第三方的专利、商标或版权等合法权益，乙方保证货物未设定任何抵押、质押等涉及任何第三方的权益。否则，乙方须承担对第三方的专利、商标或版权以及其他权益的全部法律责任并承担因此而发生的所有费用；如因此给甲方造成损失的，乙方赔偿甲方包括诉讼费、律师费等法律费用在内的全部损失。</w:t>
      </w:r>
    </w:p>
    <w:p>
      <w:pPr>
        <w:pStyle w:val="null3"/>
        <w:jc w:val="both"/>
      </w:pPr>
      <w:r>
        <w:rPr>
          <w:sz w:val="21"/>
          <w:b/>
        </w:rPr>
        <w:t>6、质量保证及售后服务</w:t>
      </w:r>
    </w:p>
    <w:p>
      <w:pPr>
        <w:pStyle w:val="null3"/>
        <w:jc w:val="both"/>
      </w:pPr>
      <w:r>
        <w:rPr>
          <w:sz w:val="21"/>
        </w:rPr>
        <w:t>6.1 乙方保证合同货物是全新、未曾使用过的，其质量、规格及技术特征符合合同附件的要求。每台货物上均应有铭牌（内容包括：制造商、货物名称、型号规格、出厂日期、机身号等）并附有产品质量检验合格标志及复印进口产品报关单和商检证明并统一加盖乙方公章。乙方应提供货物的装箱清单、用户手册、保修卡（或保修文件）、随机资料及配件、随机工具等；乙方不能完整交付上述资料的，视为未按合同约定交付。</w:t>
      </w:r>
    </w:p>
    <w:p>
      <w:pPr>
        <w:pStyle w:val="null3"/>
        <w:jc w:val="both"/>
      </w:pPr>
      <w:r>
        <w:rPr>
          <w:sz w:val="21"/>
        </w:rPr>
        <w:t>6.2 合同货物免费保修期按</w:t>
      </w:r>
      <w:r>
        <w:rPr>
          <w:sz w:val="21"/>
          <w:u w:val="single"/>
        </w:rPr>
        <w:t xml:space="preserve"> </w:t>
      </w:r>
      <w:r>
        <w:rPr>
          <w:sz w:val="21"/>
          <w:u w:val="single"/>
        </w:rPr>
        <w:t xml:space="preserve">     </w:t>
      </w:r>
      <w:r>
        <w:rPr>
          <w:sz w:val="21"/>
        </w:rPr>
        <w:t>执行；自验收之日起免费保修期</w:t>
      </w:r>
      <w:r>
        <w:rPr>
          <w:sz w:val="21"/>
          <w:u w:val="single"/>
        </w:rPr>
        <w:t xml:space="preserve">    </w:t>
      </w:r>
      <w:r>
        <w:rPr>
          <w:sz w:val="21"/>
        </w:rPr>
        <w:t>年，提供厂家售后服务承诺书。所配软件为最新版本，承诺终身免费升级软件。免费保修期内非甲方的人为原因而出现产品质量及安装问题，由乙方负责包修、包换或包退，并承担因此而产生的一切费用</w:t>
      </w:r>
      <w:r>
        <w:rPr>
          <w:sz w:val="21"/>
        </w:rPr>
        <w:t>,同时，相应延长免费保修期。乙方应在收到甲方通知后派员到现场维修。</w:t>
      </w:r>
    </w:p>
    <w:p>
      <w:pPr>
        <w:pStyle w:val="null3"/>
        <w:jc w:val="both"/>
      </w:pPr>
      <w:r>
        <w:rPr>
          <w:sz w:val="21"/>
        </w:rPr>
        <w:t>下列情况乙方不负责免费保修：</w:t>
      </w:r>
    </w:p>
    <w:p>
      <w:pPr>
        <w:pStyle w:val="null3"/>
        <w:jc w:val="both"/>
      </w:pPr>
      <w:r>
        <w:rPr>
          <w:sz w:val="21"/>
        </w:rPr>
        <w:t>（</w:t>
      </w:r>
      <w:r>
        <w:rPr>
          <w:sz w:val="21"/>
        </w:rPr>
        <w:t>1）甲方不按照乙方提供的正确使用方法而引致设备故障损坏；</w:t>
      </w:r>
    </w:p>
    <w:p>
      <w:pPr>
        <w:pStyle w:val="null3"/>
        <w:jc w:val="both"/>
      </w:pPr>
      <w:r>
        <w:rPr>
          <w:sz w:val="21"/>
        </w:rPr>
        <w:t>（</w:t>
      </w:r>
      <w:r>
        <w:rPr>
          <w:sz w:val="21"/>
        </w:rPr>
        <w:t>2）擅自改装设备；</w:t>
      </w:r>
    </w:p>
    <w:p>
      <w:pPr>
        <w:pStyle w:val="null3"/>
        <w:jc w:val="both"/>
      </w:pPr>
      <w:r>
        <w:rPr>
          <w:sz w:val="21"/>
        </w:rPr>
        <w:t>（</w:t>
      </w:r>
      <w:r>
        <w:rPr>
          <w:sz w:val="21"/>
        </w:rPr>
        <w:t>3）各种人为因素或天灾等外来因素造成的损坏。</w:t>
      </w:r>
    </w:p>
    <w:p>
      <w:pPr>
        <w:pStyle w:val="null3"/>
        <w:jc w:val="both"/>
      </w:pPr>
      <w:r>
        <w:rPr>
          <w:sz w:val="21"/>
        </w:rPr>
        <w:t>6.3 货物交付使用后以书面形式承诺维修服务，实行终身维护：</w:t>
      </w:r>
    </w:p>
    <w:p>
      <w:pPr>
        <w:pStyle w:val="null3"/>
        <w:jc w:val="both"/>
      </w:pPr>
      <w:r>
        <w:rPr>
          <w:sz w:val="21"/>
        </w:rPr>
        <w:t>保修期内，发生故障，服务人员接到甲方报修电话后应</w:t>
      </w:r>
      <w:r>
        <w:rPr>
          <w:sz w:val="21"/>
          <w:u w:val="single"/>
        </w:rPr>
        <w:t xml:space="preserve">      </w:t>
      </w:r>
      <w:r>
        <w:rPr>
          <w:sz w:val="21"/>
        </w:rPr>
        <w:t>内响应：如电话不能解决问题，服务人员应</w:t>
      </w:r>
      <w:r>
        <w:rPr>
          <w:sz w:val="21"/>
          <w:u w:val="single"/>
        </w:rPr>
        <w:t xml:space="preserve">       </w:t>
      </w:r>
      <w:r>
        <w:rPr>
          <w:sz w:val="21"/>
        </w:rPr>
        <w:t>内到现场排查。若未能在此时间内到达现场进行排查的，视同发生违约，每违约一次，延长本项目的保修期</w:t>
      </w:r>
      <w:r>
        <w:rPr>
          <w:sz w:val="21"/>
          <w:u w:val="single"/>
        </w:rPr>
        <w:t xml:space="preserve">       </w:t>
      </w:r>
      <w:r>
        <w:rPr>
          <w:sz w:val="21"/>
        </w:rPr>
        <w:t>天。</w:t>
      </w:r>
    </w:p>
    <w:p>
      <w:pPr>
        <w:pStyle w:val="null3"/>
        <w:jc w:val="both"/>
      </w:pPr>
      <w:r>
        <w:rPr>
          <w:sz w:val="21"/>
        </w:rPr>
        <w:t>6.4 所有保修服务方式均为乙方上门保修，即由乙方派员到甲方设备使用现场维修，由此产生的一切费用均由乙方承担。</w:t>
      </w:r>
    </w:p>
    <w:p>
      <w:pPr>
        <w:pStyle w:val="null3"/>
        <w:jc w:val="both"/>
      </w:pPr>
      <w:r>
        <w:rPr>
          <w:sz w:val="21"/>
        </w:rPr>
        <w:t>6.5 因设备的质量问题而发生争议，由广东省或广州市质检部门进行质量鉴定。设备符合质量</w:t>
      </w:r>
      <w:r>
        <w:rPr>
          <w:sz w:val="21"/>
        </w:rPr>
        <w:t>标准的，鉴定费用由甲方承担；设备不符合质量标准的，鉴定费用由乙方承担。</w:t>
      </w:r>
    </w:p>
    <w:p>
      <w:pPr>
        <w:pStyle w:val="null3"/>
        <w:jc w:val="both"/>
      </w:pPr>
      <w:r>
        <w:rPr>
          <w:sz w:val="21"/>
        </w:rPr>
        <w:t>6.6 乙方为甲方提供操作及维护培训，主要内容为设备的基本结构、性能、主要部件的构造及原理，日常使用操作、保养与管理，常见故障的排除，紧急情况的处理等，培训地点主要在设备安装现场或按甲乙双方协商安排。</w:t>
      </w:r>
    </w:p>
    <w:p>
      <w:pPr>
        <w:pStyle w:val="null3"/>
        <w:jc w:val="both"/>
      </w:pPr>
      <w:r>
        <w:rPr>
          <w:sz w:val="21"/>
        </w:rPr>
        <w:t>6.7乙方对甲方提供及时充足的零备件供应，保证</w:t>
      </w:r>
      <w:r>
        <w:rPr>
          <w:sz w:val="21"/>
          <w:u w:val="single"/>
        </w:rPr>
        <w:t xml:space="preserve">      </w:t>
      </w:r>
      <w:r>
        <w:rPr>
          <w:sz w:val="21"/>
        </w:rPr>
        <w:t>年以上供应期。</w:t>
      </w:r>
    </w:p>
    <w:p>
      <w:pPr>
        <w:pStyle w:val="null3"/>
        <w:jc w:val="both"/>
      </w:pPr>
      <w:r>
        <w:rPr>
          <w:sz w:val="21"/>
          <w:b/>
        </w:rPr>
        <w:t>7、付款方式</w:t>
      </w:r>
    </w:p>
    <w:p>
      <w:pPr>
        <w:pStyle w:val="null3"/>
        <w:jc w:val="both"/>
      </w:pPr>
      <w:r>
        <w:rPr>
          <w:sz w:val="21"/>
        </w:rPr>
        <w:t>7.1 本合同的每笔款项以人民币方式支付，支付的时间和金额如下：设备到甲方指定时间指定地点交付并清点货物齐全、完成安装、使用培训、验收合格后凭：</w:t>
      </w:r>
    </w:p>
    <w:p>
      <w:pPr>
        <w:pStyle w:val="null3"/>
        <w:jc w:val="left"/>
      </w:pPr>
      <w:r>
        <w:rPr>
          <w:sz w:val="21"/>
        </w:rPr>
        <w:t>（</w:t>
      </w:r>
      <w:r>
        <w:rPr>
          <w:sz w:val="21"/>
        </w:rPr>
        <w:t>1）甲方安装验收调试报告、厂家售后服务承诺书等相关资料。</w:t>
      </w:r>
    </w:p>
    <w:p>
      <w:pPr>
        <w:pStyle w:val="null3"/>
        <w:jc w:val="left"/>
      </w:pPr>
      <w:r>
        <w:rPr>
          <w:sz w:val="21"/>
        </w:rPr>
        <w:t>（</w:t>
      </w:r>
      <w:r>
        <w:rPr>
          <w:sz w:val="21"/>
        </w:rPr>
        <w:t>2）乙方向甲方开具合同金额3%，即人民币</w:t>
      </w:r>
      <w:r>
        <w:rPr>
          <w:sz w:val="21"/>
          <w:u w:val="single"/>
        </w:rPr>
        <w:t xml:space="preserve">           </w:t>
      </w:r>
      <w:r>
        <w:rPr>
          <w:sz w:val="21"/>
        </w:rPr>
        <w:t>元整（</w:t>
      </w:r>
      <w:r>
        <w:rPr>
          <w:sz w:val="21"/>
        </w:rPr>
        <w:t>¥</w:t>
      </w:r>
      <w:r>
        <w:rPr>
          <w:sz w:val="21"/>
          <w:u w:val="single"/>
        </w:rPr>
        <w:t xml:space="preserve">      </w:t>
      </w:r>
      <w:r>
        <w:rPr>
          <w:sz w:val="21"/>
        </w:rPr>
        <w:t>元）的验收后一年期以上自动失效的履约保函。</w:t>
      </w:r>
    </w:p>
    <w:p>
      <w:pPr>
        <w:pStyle w:val="null3"/>
        <w:jc w:val="left"/>
      </w:pPr>
      <w:r>
        <w:rPr>
          <w:sz w:val="21"/>
        </w:rPr>
        <w:t>（</w:t>
      </w:r>
      <w:r>
        <w:rPr>
          <w:sz w:val="21"/>
        </w:rPr>
        <w:t>3）乙方开具的全额正式发票（加盖乙方公章）</w:t>
      </w:r>
    </w:p>
    <w:p>
      <w:pPr>
        <w:pStyle w:val="null3"/>
        <w:jc w:val="both"/>
      </w:pPr>
      <w:r>
        <w:rPr>
          <w:sz w:val="21"/>
        </w:rPr>
        <w:t>两个月内支付合同总额货款，即人民币：</w:t>
      </w:r>
      <w:r>
        <w:rPr>
          <w:sz w:val="21"/>
        </w:rPr>
        <w:t>¥</w:t>
      </w:r>
      <w:r>
        <w:rPr>
          <w:sz w:val="21"/>
          <w:u w:val="single"/>
        </w:rPr>
        <w:t xml:space="preserve">       </w:t>
      </w:r>
      <w:r>
        <w:rPr>
          <w:sz w:val="21"/>
        </w:rPr>
        <w:t>元，（大写）：</w:t>
      </w:r>
      <w:r>
        <w:rPr>
          <w:sz w:val="21"/>
          <w:u w:val="single"/>
        </w:rPr>
        <w:t xml:space="preserve">      </w:t>
      </w:r>
      <w:r>
        <w:rPr>
          <w:sz w:val="21"/>
        </w:rPr>
        <w:t>元整。货物验收并正常使用一年后，由乙方书面提出申请，且售后服务无异议</w:t>
      </w:r>
      <w:r>
        <w:rPr>
          <w:sz w:val="21"/>
        </w:rPr>
        <w:t>(甲乙双方书面确认)，甲方将把履约保函退还给乙方。</w:t>
      </w:r>
    </w:p>
    <w:p>
      <w:pPr>
        <w:pStyle w:val="null3"/>
        <w:ind w:left="555"/>
        <w:jc w:val="both"/>
      </w:pPr>
      <w:r>
        <w:rPr>
          <w:sz w:val="21"/>
          <w:b/>
        </w:rPr>
        <w:t>8、技术服务</w:t>
      </w:r>
    </w:p>
    <w:p>
      <w:pPr>
        <w:pStyle w:val="null3"/>
        <w:jc w:val="both"/>
      </w:pPr>
      <w:r>
        <w:rPr>
          <w:sz w:val="21"/>
        </w:rPr>
        <w:t>乙方应派员到甲方指定地点配合工作，按甲方提供的合同执行进度计划，配合甲方及有关单位，以此做好合同执行进度上的配合工作。</w:t>
      </w:r>
    </w:p>
    <w:p>
      <w:pPr>
        <w:pStyle w:val="null3"/>
        <w:jc w:val="both"/>
      </w:pPr>
      <w:r>
        <w:rPr>
          <w:sz w:val="21"/>
          <w:b/>
        </w:rPr>
        <w:t>9、不可抗力</w:t>
      </w:r>
    </w:p>
    <w:p>
      <w:pPr>
        <w:pStyle w:val="null3"/>
        <w:ind w:right="-420"/>
        <w:jc w:val="both"/>
      </w:pPr>
      <w:r>
        <w:rPr>
          <w:sz w:val="21"/>
        </w:rPr>
        <w:t>9.1 不可抗力指战争、严重火灾、洪水、台风、地震等或其它双方认定的不可抗力事件。</w:t>
      </w:r>
    </w:p>
    <w:p>
      <w:pPr>
        <w:pStyle w:val="null3"/>
        <w:ind w:right="-195"/>
        <w:jc w:val="both"/>
      </w:pPr>
      <w:r>
        <w:rPr>
          <w:sz w:val="21"/>
        </w:rPr>
        <w:t>9.2 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jc w:val="both"/>
      </w:pPr>
      <w:r>
        <w:rPr>
          <w:sz w:val="21"/>
          <w:b/>
        </w:rPr>
        <w:t>10、索赔</w:t>
      </w:r>
    </w:p>
    <w:p>
      <w:pPr>
        <w:pStyle w:val="null3"/>
        <w:jc w:val="both"/>
      </w:pPr>
      <w:r>
        <w:rPr>
          <w:sz w:val="21"/>
        </w:rPr>
        <w:t>10.1 如有异议，甲方有权根据有关政府部门的检验结果向乙方提出索赔。</w:t>
      </w:r>
    </w:p>
    <w:p>
      <w:pPr>
        <w:pStyle w:val="null3"/>
        <w:jc w:val="both"/>
      </w:pPr>
      <w:r>
        <w:rPr>
          <w:sz w:val="21"/>
        </w:rPr>
        <w:t>10.2 在合同执行期间，如果乙方对甲方提出的索赔和差异负有责任，乙方应按照甲方同意的下列一种或多种方式解决索赔事宜：</w:t>
      </w:r>
    </w:p>
    <w:p>
      <w:pPr>
        <w:pStyle w:val="null3"/>
        <w:jc w:val="both"/>
      </w:pPr>
      <w:r>
        <w:rPr>
          <w:sz w:val="21"/>
        </w:rPr>
        <w:t>（</w:t>
      </w:r>
      <w:r>
        <w:rPr>
          <w:sz w:val="21"/>
        </w:rPr>
        <w:t>1）乙方同意退货，并按合同规定的同种货币将货款退还给甲方，并承担由此发生的一切损失和费用。</w:t>
      </w:r>
    </w:p>
    <w:p>
      <w:pPr>
        <w:pStyle w:val="null3"/>
        <w:jc w:val="both"/>
      </w:pPr>
      <w:r>
        <w:rPr>
          <w:sz w:val="21"/>
        </w:rPr>
        <w:t>（</w:t>
      </w:r>
      <w:r>
        <w:rPr>
          <w:sz w:val="21"/>
        </w:rPr>
        <w:t>2）根据货物低劣程度、损坏程度以及甲方所遭受损失的数额甲乙双方商定降低货物的价格。</w:t>
      </w:r>
    </w:p>
    <w:p>
      <w:pPr>
        <w:pStyle w:val="null3"/>
        <w:jc w:val="both"/>
      </w:pPr>
      <w:r>
        <w:rPr>
          <w:sz w:val="21"/>
        </w:rPr>
        <w:t>（</w:t>
      </w:r>
      <w:r>
        <w:rPr>
          <w:sz w:val="21"/>
        </w:rPr>
        <w:t>3）用符合规格、质量和性能要求的新零件、部件或货物来更换有缺陷的部分或修补缺陷的部分，乙方应承担一切费用和风险并负有甲方所发生的一切直接费用。同时，相应延长免费保修期。</w:t>
      </w:r>
    </w:p>
    <w:p>
      <w:pPr>
        <w:pStyle w:val="null3"/>
        <w:jc w:val="both"/>
      </w:pPr>
      <w:r>
        <w:rPr>
          <w:sz w:val="21"/>
        </w:rPr>
        <w:t>10.3 如果在甲方发出索赔通知后30天内，乙方未作答复，上述索赔应视为已被乙方接受。甲方将从合同款项中扣回索赔金额。如果这些金额不足以补偿索赔金额，甲方有权向乙方提出不足部分的补偿。</w:t>
      </w:r>
    </w:p>
    <w:p>
      <w:pPr>
        <w:pStyle w:val="null3"/>
        <w:jc w:val="both"/>
      </w:pPr>
      <w:r>
        <w:rPr>
          <w:sz w:val="21"/>
          <w:b/>
        </w:rPr>
        <w:t>11、违约与处罚</w:t>
      </w:r>
    </w:p>
    <w:p>
      <w:pPr>
        <w:pStyle w:val="null3"/>
        <w:jc w:val="both"/>
      </w:pPr>
      <w:r>
        <w:rPr>
          <w:sz w:val="21"/>
        </w:rPr>
        <w:t>11.1 甲方按本合同约定的付款条件，依合同规定时间内，向乙方支付货款，如因甲方原因导致逾期付款，则每拖延一天乙方可向甲方加收应付未付金额的0.</w:t>
      </w:r>
      <w:r>
        <w:rPr>
          <w:sz w:val="21"/>
        </w:rPr>
        <w:t>5</w:t>
      </w:r>
      <w:r>
        <w:rPr>
          <w:sz w:val="21"/>
        </w:rPr>
        <w:t>‰的违约金，该违约金额不超过合同总价的5%。</w:t>
      </w:r>
    </w:p>
    <w:p>
      <w:pPr>
        <w:pStyle w:val="null3"/>
        <w:jc w:val="both"/>
      </w:pPr>
      <w:r>
        <w:rPr>
          <w:sz w:val="21"/>
        </w:rPr>
        <w:t>11.2 若乙方未能按时交货，每拖延一天，须向甲方支付合同总价的0.5‰的违约金，该违约金额不超过合同总价的5%，或甲方同意后乙方延长相应货物的保修服务时间。乙方逾期交货30天以上的，视为乙方未能交付货物，甲方有权解除合同，乙方应在30天内退还甲方已支付的所有款项，并按第11.3条款约定向甲方支付违约金。</w:t>
      </w:r>
    </w:p>
    <w:p>
      <w:pPr>
        <w:pStyle w:val="null3"/>
        <w:jc w:val="both"/>
      </w:pPr>
      <w:r>
        <w:rPr>
          <w:sz w:val="21"/>
        </w:rPr>
        <w:t>11.3 乙方未能交付货物，除退还甲方已支付的全部款项外，还应向甲方支付合同总价的7.5%的违约金。</w:t>
      </w:r>
    </w:p>
    <w:p>
      <w:pPr>
        <w:pStyle w:val="null3"/>
        <w:jc w:val="both"/>
      </w:pPr>
      <w:r>
        <w:rPr>
          <w:sz w:val="21"/>
        </w:rPr>
        <w:t>11.4 若乙方交付的货物不符合合同约定的，甲方有权拒收，乙方应在收到甲方拒收通知后30天内退还甲方已支付的所有款项，并且乙方向甲方支付合同总价的5%的违约金。</w:t>
      </w:r>
    </w:p>
    <w:p>
      <w:pPr>
        <w:pStyle w:val="null3"/>
        <w:jc w:val="both"/>
      </w:pPr>
      <w:r>
        <w:rPr>
          <w:sz w:val="21"/>
        </w:rPr>
        <w:t>11.5 若乙方违反本合同约定的安装、调试及验收的内容，或乙方未能按约定和甲方实际需求交付相关文书和提供设备的使用培训等附随义务的，每拖延一天，须向甲方支付合同总价的0.5‰的违约金；乙方拖延超过30天以上的，视为乙方严重违约致使甲方难以实现合同目的，甲方有权解除合同，乙方应在30天内退还甲方已支付的所有款项，并按第11.3条的标准向甲方支付违约金。</w:t>
      </w:r>
    </w:p>
    <w:p>
      <w:pPr>
        <w:pStyle w:val="null3"/>
        <w:jc w:val="both"/>
      </w:pPr>
      <w:r>
        <w:rPr>
          <w:sz w:val="21"/>
        </w:rPr>
        <w:t>11.6 若乙方违反本合同约定的维修保养等售后服务的，每拖延一天，须向甲方支付合同总价的0.5‰的违约金，或经甲方同意后乙方延长相应货物的保修服务时间。乙方拖延期间，甲方有权委托第三方进行维修保养，乙方承担由此产生的费用和造成的损失。</w:t>
      </w:r>
    </w:p>
    <w:p>
      <w:pPr>
        <w:pStyle w:val="null3"/>
        <w:jc w:val="both"/>
      </w:pPr>
      <w:r>
        <w:rPr>
          <w:sz w:val="21"/>
        </w:rPr>
        <w:t>11.7 如果本合同第11.2条至第11.4条约定的违约金不足以弥补甲方损失的，乙方赔偿甲方包括诉讼费、律师费等法律费用在内的全部损失。</w:t>
      </w:r>
    </w:p>
    <w:p>
      <w:pPr>
        <w:pStyle w:val="null3"/>
        <w:jc w:val="both"/>
      </w:pPr>
      <w:r>
        <w:rPr>
          <w:sz w:val="21"/>
          <w:b/>
        </w:rPr>
        <w:t>12、合同终止</w:t>
      </w:r>
    </w:p>
    <w:p>
      <w:pPr>
        <w:pStyle w:val="null3"/>
        <w:jc w:val="both"/>
      </w:pPr>
      <w:r>
        <w:rPr>
          <w:sz w:val="21"/>
        </w:rPr>
        <w:t>如果一方严重违反合同，并在收到对方违约通知书后在</w:t>
      </w:r>
      <w:r>
        <w:rPr>
          <w:sz w:val="21"/>
        </w:rPr>
        <w:t>30天内仍未能改正违约的（包括但不限于甲方无理由拒绝支付货款、乙方逾期交货超过30天未改正的、乙方交货不符合合同约定超过30天未改正的、乙方违反本合同安装、调试、验收、附随义务和售后服务超过30天未改正的、乙方其他违约行为致使甲方难以实现合同目的的），另一方可立即终止本合同。</w:t>
      </w:r>
    </w:p>
    <w:p>
      <w:pPr>
        <w:pStyle w:val="null3"/>
        <w:jc w:val="both"/>
      </w:pPr>
      <w:r>
        <w:rPr>
          <w:sz w:val="21"/>
          <w:b/>
        </w:rPr>
        <w:t>13、法律诉讼</w:t>
      </w:r>
    </w:p>
    <w:p>
      <w:pPr>
        <w:pStyle w:val="null3"/>
        <w:jc w:val="both"/>
      </w:pPr>
      <w:r>
        <w:rPr>
          <w:sz w:val="21"/>
        </w:rPr>
        <w:t>签约双方在履约中发生争执和分歧，双方应通过友好协商解决，若经协商不能达成协议时，则向甲方所在地人民法院提起诉讼。受理期间，双方应继续执行合同其余部分。</w:t>
      </w:r>
    </w:p>
    <w:p>
      <w:pPr>
        <w:pStyle w:val="null3"/>
        <w:jc w:val="both"/>
      </w:pPr>
      <w:r>
        <w:rPr>
          <w:sz w:val="21"/>
          <w:b/>
        </w:rPr>
        <w:t>14、通知与送达</w:t>
      </w:r>
    </w:p>
    <w:p>
      <w:pPr>
        <w:pStyle w:val="null3"/>
        <w:jc w:val="both"/>
      </w:pPr>
      <w:r>
        <w:rPr>
          <w:sz w:val="21"/>
        </w:rPr>
        <w:t>双方在本合同履行过程中相互发出或者提供的所有通知、文件、文书、资料等，均以本合同所列明的地址送达。一方如果迁址或者变更电话，应当书面通知对方，未履行通知义务的，另一方按原地址邮寄相关材料即视为已履行送达义务。当面交付上述材料的，在交付之时视为送达；以邮寄方式交付的，寄出或者投邮即视为送达。</w:t>
      </w:r>
    </w:p>
    <w:p>
      <w:pPr>
        <w:pStyle w:val="null3"/>
        <w:jc w:val="both"/>
      </w:pPr>
      <w:r>
        <w:rPr>
          <w:sz w:val="21"/>
          <w:b/>
        </w:rPr>
        <w:t>15、其它</w:t>
      </w:r>
    </w:p>
    <w:p>
      <w:pPr>
        <w:pStyle w:val="null3"/>
        <w:jc w:val="both"/>
      </w:pPr>
      <w:r>
        <w:rPr>
          <w:sz w:val="21"/>
        </w:rPr>
        <w:t xml:space="preserve">15.1 </w:t>
      </w:r>
      <w:r>
        <w:rPr>
          <w:sz w:val="21"/>
        </w:rPr>
        <w:t>本合同正本四份，具有同等法律效力，甲方执两份、乙方执一份，采购代理机构执一份。合同自签字盖章之日起即时生效。</w:t>
      </w:r>
    </w:p>
    <w:p>
      <w:pPr>
        <w:pStyle w:val="null3"/>
        <w:jc w:val="both"/>
      </w:pPr>
      <w:r>
        <w:rPr>
          <w:sz w:val="21"/>
        </w:rPr>
        <w:t xml:space="preserve">15.2 </w:t>
      </w:r>
      <w:r>
        <w:rPr>
          <w:sz w:val="21"/>
        </w:rPr>
        <w:t>乙方完全遵守《中华人民共和国劳动合同法》有关规定和《中华人民共和国妇女权益保障法》中关于</w:t>
      </w:r>
      <w:r>
        <w:rPr>
          <w:sz w:val="21"/>
        </w:rPr>
        <w:t>“劳动和社会保障权益”的有关要求。</w:t>
      </w:r>
    </w:p>
    <w:p>
      <w:pPr>
        <w:pStyle w:val="null3"/>
        <w:jc w:val="both"/>
      </w:pPr>
      <w:r>
        <w:rPr>
          <w:sz w:val="21"/>
        </w:rPr>
        <w:t>15.3</w:t>
      </w:r>
      <w:r>
        <w:rPr>
          <w:sz w:val="21"/>
        </w:rPr>
        <w:t>乙方应遵守《中华人民共和国政府采购法》及其相关规定，如有违反，甲方将上报政府采购监督管理部门，造成甲方损失的，甲方追究乙方责任。</w:t>
      </w:r>
    </w:p>
    <w:p>
      <w:pPr>
        <w:pStyle w:val="null3"/>
        <w:jc w:val="both"/>
      </w:pPr>
      <w:r>
        <w:rPr>
          <w:sz w:val="21"/>
        </w:rPr>
        <w:t xml:space="preserve">15.4  </w:t>
      </w:r>
      <w:r>
        <w:rPr>
          <w:sz w:val="21"/>
        </w:rPr>
        <w:t>本合同约定的货物，指的是包括</w:t>
      </w:r>
      <w:r>
        <w:rPr>
          <w:sz w:val="21"/>
          <w:u w:val="single"/>
        </w:rPr>
        <w:t xml:space="preserve"> </w:t>
      </w:r>
      <w:r>
        <w:rPr>
          <w:sz w:val="21"/>
          <w:u w:val="single"/>
        </w:rPr>
        <w:t xml:space="preserve">         </w:t>
      </w:r>
      <w:r>
        <w:rPr>
          <w:sz w:val="21"/>
        </w:rPr>
        <w:t>原厂设备及第三方产品在内的全部设备和产品的配置，以及相关系统。见附件</w:t>
      </w:r>
      <w:r>
        <w:rPr>
          <w:sz w:val="21"/>
          <w:u w:val="single"/>
        </w:rPr>
        <w:t xml:space="preserve"> </w:t>
      </w:r>
      <w:r>
        <w:rPr>
          <w:sz w:val="21"/>
          <w:u w:val="single"/>
        </w:rPr>
        <w:t xml:space="preserve">        </w:t>
      </w:r>
      <w:r>
        <w:rPr>
          <w:sz w:val="21"/>
        </w:rPr>
        <w:t>。</w:t>
      </w:r>
    </w:p>
    <w:p>
      <w:pPr>
        <w:pStyle w:val="null3"/>
        <w:jc w:val="both"/>
      </w:pPr>
      <w:r>
        <w:rPr>
          <w:sz w:val="21"/>
        </w:rPr>
        <w:t>15.5 本合同未尽事宜，由双方协商处理。</w:t>
      </w:r>
    </w:p>
    <w:p>
      <w:pPr>
        <w:pStyle w:val="null3"/>
        <w:jc w:val="both"/>
      </w:pPr>
      <w:r>
        <w:rPr/>
        <w:t xml:space="preserve"> </w:t>
      </w:r>
    </w:p>
    <w:p>
      <w:pPr>
        <w:pStyle w:val="null3"/>
        <w:spacing w:before="255" w:after="255"/>
        <w:jc w:val="both"/>
        <w:outlineLvl w:val="1"/>
      </w:pPr>
      <w:r>
        <w:rPr>
          <w:sz w:val="21"/>
        </w:rPr>
        <w:t>甲方（公章）：</w:t>
      </w:r>
      <w:r>
        <w:rPr>
          <w:sz w:val="21"/>
        </w:rPr>
        <w:t xml:space="preserve">                                 </w:t>
      </w:r>
      <w:r>
        <w:rPr>
          <w:sz w:val="21"/>
        </w:rPr>
        <w:t>乙方（公章）：</w:t>
      </w:r>
    </w:p>
    <w:p>
      <w:pPr>
        <w:pStyle w:val="null3"/>
        <w:jc w:val="both"/>
      </w:pPr>
      <w:r>
        <w:rPr>
          <w:sz w:val="21"/>
        </w:rPr>
        <w:t>广州医科大学附属第二医院</w:t>
      </w:r>
      <w:r>
        <w:rPr>
          <w:sz w:val="21"/>
        </w:rPr>
        <w:t xml:space="preserve">               </w:t>
      </w:r>
      <w:r>
        <w:rPr>
          <w:sz w:val="21"/>
        </w:rPr>
        <w:t xml:space="preserve">       </w:t>
      </w:r>
      <w:r>
        <w:rPr>
          <w:sz w:val="21"/>
          <w:u w:val="single"/>
        </w:rPr>
        <w:t xml:space="preserve">                              </w:t>
      </w:r>
    </w:p>
    <w:p>
      <w:pPr>
        <w:pStyle w:val="null3"/>
        <w:jc w:val="both"/>
      </w:pPr>
      <w:r>
        <w:rPr>
          <w:sz w:val="21"/>
        </w:rPr>
        <w:t>法定代表人（签字或盖章）</w:t>
      </w:r>
      <w:r>
        <w:rPr>
          <w:sz w:val="21"/>
        </w:rPr>
        <w:t xml:space="preserve">                     </w:t>
      </w:r>
      <w:r>
        <w:rPr>
          <w:sz w:val="21"/>
        </w:rPr>
        <w:t>法定代表人（签字或盖章）</w:t>
      </w:r>
    </w:p>
    <w:p>
      <w:pPr>
        <w:pStyle w:val="null3"/>
        <w:jc w:val="both"/>
      </w:pPr>
      <w:r>
        <w:rPr>
          <w:sz w:val="21"/>
        </w:rPr>
        <w:t>签约代表：</w:t>
      </w:r>
      <w:r>
        <w:rPr>
          <w:sz w:val="21"/>
        </w:rPr>
        <w:t xml:space="preserve">                                     </w:t>
      </w:r>
      <w:r>
        <w:rPr>
          <w:sz w:val="21"/>
        </w:rPr>
        <w:t>签约代表：</w:t>
      </w:r>
    </w:p>
    <w:p>
      <w:pPr>
        <w:pStyle w:val="null3"/>
        <w:jc w:val="both"/>
      </w:pPr>
      <w:r>
        <w:rPr>
          <w:sz w:val="21"/>
        </w:rPr>
        <w:t>地址：广州市海珠区昌岗东路</w:t>
      </w:r>
      <w:r>
        <w:rPr>
          <w:sz w:val="21"/>
        </w:rPr>
        <w:t>250号                地址：</w:t>
      </w:r>
    </w:p>
    <w:p>
      <w:pPr>
        <w:pStyle w:val="null3"/>
        <w:jc w:val="both"/>
      </w:pPr>
      <w:r>
        <w:rPr>
          <w:sz w:val="21"/>
        </w:rPr>
        <w:t>电话：</w:t>
      </w:r>
      <w:r>
        <w:rPr>
          <w:sz w:val="21"/>
        </w:rPr>
        <w:t>020-34153258                             电话：</w:t>
      </w:r>
    </w:p>
    <w:p>
      <w:pPr>
        <w:pStyle w:val="null3"/>
        <w:jc w:val="both"/>
      </w:pPr>
      <w:r>
        <w:rPr>
          <w:sz w:val="21"/>
        </w:rPr>
        <w:t>签约日期：</w:t>
      </w:r>
      <w:r>
        <w:rPr>
          <w:sz w:val="21"/>
        </w:rPr>
        <w:t>20   年  月   日                     签约日期：20   年   月   日</w:t>
      </w:r>
      <w:r>
        <w:rPr>
          <w:sz w:val="21"/>
          <w:b/>
        </w:rPr>
        <w:t xml:space="preserve">  </w:t>
      </w:r>
    </w:p>
    <w:p>
      <w:pPr>
        <w:pStyle w:val="null3"/>
        <w:ind w:left="4950"/>
        <w:jc w:val="both"/>
      </w:pPr>
      <w:r>
        <w:rPr>
          <w:sz w:val="21"/>
        </w:rPr>
        <w:t>开户银行：</w:t>
      </w:r>
    </w:p>
    <w:p>
      <w:pPr>
        <w:pStyle w:val="null3"/>
        <w:ind w:firstLine="4956"/>
        <w:jc w:val="both"/>
      </w:pPr>
      <w:r>
        <w:rPr>
          <w:sz w:val="21"/>
        </w:rPr>
        <w:t>账号：</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440101-2025-01375</w:t>
      </w:r>
    </w:p>
    <w:p>
      <w:pPr>
        <w:pStyle w:val="null3"/>
        <w:jc w:val="center"/>
        <w:outlineLvl w:val="3"/>
      </w:pPr>
      <w:r>
        <w:rPr>
          <w:sz w:val="24"/>
          <w:b/>
        </w:rPr>
        <w:t>采购项目编号：</w:t>
      </w:r>
      <w:r>
        <w:rPr>
          <w:sz w:val="24"/>
          <w:b/>
        </w:rPr>
        <w:t>3587-2512GZG10105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广州医科大学附属第二医院采购医疗设备招标项目(二次)</w:t>
      </w:r>
      <w:r>
        <w:rPr>
          <w:u w:val="single"/>
        </w:rPr>
        <w:t>”</w:t>
      </w:r>
      <w:r>
        <w:rPr/>
        <w:t>项目的招标[采购项目编号为：</w:t>
      </w:r>
      <w:r>
        <w:rPr>
          <w:u w:val="single"/>
        </w:rPr>
        <w:t>3587-2512GZG10105</w:t>
      </w:r>
      <w:r>
        <w:rPr/>
        <w:t>]，我方愿参与投标。</w:t>
      </w:r>
    </w:p>
    <w:p>
      <w:pPr>
        <w:pStyle w:val="null3"/>
        <w:ind w:firstLine="480"/>
      </w:pPr>
      <w:r>
        <w:rPr/>
        <w:t>我方确认收到贵方提供的</w:t>
      </w:r>
      <w:r>
        <w:rPr>
          <w:u w:val="single"/>
        </w:rPr>
        <w:t>“</w:t>
      </w:r>
      <w:r>
        <w:rPr>
          <w:u w:val="single"/>
        </w:rPr>
        <w:t>广州医科大学附属第二医院采购医疗设备招标项目(二次)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广州医科大学附属第二医院采购医疗设备招标项目(二次)</w:t>
      </w:r>
      <w:r>
        <w:rPr/>
        <w:t>”项目采购[采购项目编号为</w:t>
      </w:r>
      <w:r>
        <w:rPr/>
        <w:t>3587-2512GZG10105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广州医科大学附属第二医院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广州医科大学附属第二医院采购医疗设备招标项目(二次)</w:t>
      </w:r>
      <w:r>
        <w:rPr/>
        <w:t>招标中获中标（采购项目编号：</w:t>
      </w:r>
      <w:r>
        <w:rPr/>
        <w:t>3587-2512GZG10105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